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FA6FA3F" w14:textId="77777777" w:rsidR="00641054" w:rsidRPr="00882976" w:rsidRDefault="009974F8" w:rsidP="003D58F1">
      <w:pPr>
        <w:autoSpaceDE/>
        <w:autoSpaceDN/>
        <w:adjustRightInd/>
        <w:spacing w:after="0"/>
        <w:jc w:val="left"/>
        <w:rPr>
          <w:rFonts w:cs="Arial"/>
        </w:rPr>
        <w:sectPr w:rsidR="00641054" w:rsidRPr="00882976" w:rsidSect="00B81DFC">
          <w:headerReference w:type="default" r:id="rId8"/>
          <w:footerReference w:type="default" r:id="rId9"/>
          <w:headerReference w:type="first" r:id="rId10"/>
          <w:pgSz w:w="11900" w:h="16840" w:code="9"/>
          <w:pgMar w:top="1361" w:right="1361" w:bottom="1361" w:left="1361" w:header="709" w:footer="709" w:gutter="0"/>
          <w:cols w:space="292"/>
          <w:titlePg/>
          <w:docGrid w:linePitch="326"/>
        </w:sectPr>
      </w:pPr>
      <w:r w:rsidRPr="00882976">
        <w:rPr>
          <w:rFonts w:cs="Arial"/>
          <w:noProof/>
          <w:lang w:eastAsia="en-GB"/>
        </w:rPr>
        <mc:AlternateContent>
          <mc:Choice Requires="wps">
            <w:drawing>
              <wp:anchor distT="0" distB="0" distL="114300" distR="114300" simplePos="0" relativeHeight="251657728" behindDoc="0" locked="0" layoutInCell="1" allowOverlap="1" wp14:anchorId="2B9E32A9" wp14:editId="6F0A3A89">
                <wp:simplePos x="0" y="0"/>
                <wp:positionH relativeFrom="column">
                  <wp:posOffset>-340360</wp:posOffset>
                </wp:positionH>
                <wp:positionV relativeFrom="paragraph">
                  <wp:posOffset>5869940</wp:posOffset>
                </wp:positionV>
                <wp:extent cx="6640195" cy="221932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21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E6263" w14:textId="77777777" w:rsidR="00CE7EE3" w:rsidRDefault="00CE7EE3" w:rsidP="0037393E">
                            <w:pPr>
                              <w:spacing w:after="0"/>
                              <w:ind w:right="-46"/>
                              <w:jc w:val="left"/>
                              <w:rPr>
                                <w:rFonts w:cs="Arial"/>
                                <w:b/>
                                <w:bCs/>
                                <w:sz w:val="52"/>
                                <w:szCs w:val="52"/>
                              </w:rPr>
                            </w:pPr>
                          </w:p>
                          <w:p w14:paraId="1CB123E5" w14:textId="77777777" w:rsidR="00CE7EE3" w:rsidRDefault="00CE7EE3" w:rsidP="0037393E">
                            <w:pPr>
                              <w:spacing w:after="0"/>
                              <w:ind w:right="-46"/>
                              <w:jc w:val="left"/>
                              <w:rPr>
                                <w:rFonts w:cs="Arial"/>
                                <w:b/>
                                <w:bCs/>
                                <w:sz w:val="52"/>
                                <w:szCs w:val="52"/>
                              </w:rPr>
                            </w:pPr>
                            <w:r>
                              <w:rPr>
                                <w:rFonts w:cs="Arial"/>
                                <w:b/>
                                <w:bCs/>
                                <w:sz w:val="52"/>
                                <w:szCs w:val="52"/>
                              </w:rPr>
                              <w:t>Money Matters</w:t>
                            </w:r>
                          </w:p>
                          <w:p w14:paraId="52BAB6F2" w14:textId="77777777" w:rsidR="00CE7EE3" w:rsidRDefault="00CE7EE3" w:rsidP="0037393E">
                            <w:pPr>
                              <w:spacing w:after="0"/>
                              <w:ind w:right="-46"/>
                              <w:jc w:val="left"/>
                              <w:rPr>
                                <w:rFonts w:cs="Arial"/>
                                <w:b/>
                                <w:bCs/>
                                <w:sz w:val="52"/>
                                <w:szCs w:val="52"/>
                              </w:rPr>
                            </w:pPr>
                            <w:r>
                              <w:rPr>
                                <w:rFonts w:cs="Arial"/>
                                <w:b/>
                                <w:bCs/>
                                <w:sz w:val="52"/>
                                <w:szCs w:val="52"/>
                              </w:rPr>
                              <w:t>Financial Outlook for the County Council</w:t>
                            </w:r>
                          </w:p>
                          <w:p w14:paraId="600948F0" w14:textId="54E96683" w:rsidR="00CE7EE3" w:rsidRPr="0037393E" w:rsidRDefault="00CE7EE3" w:rsidP="0037393E">
                            <w:pPr>
                              <w:spacing w:after="0"/>
                              <w:ind w:right="-46"/>
                              <w:jc w:val="left"/>
                              <w:rPr>
                                <w:rFonts w:cs="Arial"/>
                                <w:b/>
                                <w:bCs/>
                                <w:sz w:val="52"/>
                                <w:szCs w:val="52"/>
                              </w:rPr>
                            </w:pPr>
                            <w:r>
                              <w:rPr>
                                <w:rFonts w:cs="Arial"/>
                                <w:b/>
                                <w:bCs/>
                                <w:sz w:val="52"/>
                                <w:szCs w:val="52"/>
                              </w:rPr>
                              <w:t>Medium Term Financial Strategy as at 30</w:t>
                            </w:r>
                            <w:r w:rsidRPr="00666242">
                              <w:rPr>
                                <w:rFonts w:cs="Arial"/>
                                <w:b/>
                                <w:bCs/>
                                <w:sz w:val="52"/>
                                <w:szCs w:val="52"/>
                                <w:vertAlign w:val="superscript"/>
                              </w:rPr>
                              <w:t>th</w:t>
                            </w:r>
                            <w:r>
                              <w:rPr>
                                <w:rFonts w:cs="Arial"/>
                                <w:b/>
                                <w:bCs/>
                                <w:sz w:val="52"/>
                                <w:szCs w:val="52"/>
                              </w:rPr>
                              <w:t xml:space="preserve"> September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E32A9" id="_x0000_t202" coordsize="21600,21600" o:spt="202" path="m,l,21600r21600,l21600,xe">
                <v:stroke joinstyle="miter"/>
                <v:path gradientshapeok="t" o:connecttype="rect"/>
              </v:shapetype>
              <v:shape id="Text Box 4" o:spid="_x0000_s1026" type="#_x0000_t202" style="position:absolute;margin-left:-26.8pt;margin-top:462.2pt;width:522.85pt;height:17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59FtQ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" filled="f" stroked="f">
                <v:textbox>
                  <w:txbxContent>
                    <w:p w14:paraId="041E6263" w14:textId="77777777" w:rsidR="00CE7EE3" w:rsidRDefault="00CE7EE3" w:rsidP="0037393E">
                      <w:pPr>
                        <w:spacing w:after="0"/>
                        <w:ind w:right="-46"/>
                        <w:jc w:val="left"/>
                        <w:rPr>
                          <w:rFonts w:cs="Arial"/>
                          <w:b/>
                          <w:bCs/>
                          <w:sz w:val="52"/>
                          <w:szCs w:val="52"/>
                        </w:rPr>
                      </w:pPr>
                    </w:p>
                    <w:p w14:paraId="1CB123E5" w14:textId="77777777" w:rsidR="00CE7EE3" w:rsidRDefault="00CE7EE3" w:rsidP="0037393E">
                      <w:pPr>
                        <w:spacing w:after="0"/>
                        <w:ind w:right="-46"/>
                        <w:jc w:val="left"/>
                        <w:rPr>
                          <w:rFonts w:cs="Arial"/>
                          <w:b/>
                          <w:bCs/>
                          <w:sz w:val="52"/>
                          <w:szCs w:val="52"/>
                        </w:rPr>
                      </w:pPr>
                      <w:r>
                        <w:rPr>
                          <w:rFonts w:cs="Arial"/>
                          <w:b/>
                          <w:bCs/>
                          <w:sz w:val="52"/>
                          <w:szCs w:val="52"/>
                        </w:rPr>
                        <w:t>Money Matters</w:t>
                      </w:r>
                    </w:p>
                    <w:p w14:paraId="52BAB6F2" w14:textId="77777777" w:rsidR="00CE7EE3" w:rsidRDefault="00CE7EE3" w:rsidP="0037393E">
                      <w:pPr>
                        <w:spacing w:after="0"/>
                        <w:ind w:right="-46"/>
                        <w:jc w:val="left"/>
                        <w:rPr>
                          <w:rFonts w:cs="Arial"/>
                          <w:b/>
                          <w:bCs/>
                          <w:sz w:val="52"/>
                          <w:szCs w:val="52"/>
                        </w:rPr>
                      </w:pPr>
                      <w:r>
                        <w:rPr>
                          <w:rFonts w:cs="Arial"/>
                          <w:b/>
                          <w:bCs/>
                          <w:sz w:val="52"/>
                          <w:szCs w:val="52"/>
                        </w:rPr>
                        <w:t>Financial Outlook for the County Council</w:t>
                      </w:r>
                    </w:p>
                    <w:p w14:paraId="600948F0" w14:textId="54E96683" w:rsidR="00CE7EE3" w:rsidRPr="0037393E" w:rsidRDefault="00CE7EE3" w:rsidP="0037393E">
                      <w:pPr>
                        <w:spacing w:after="0"/>
                        <w:ind w:right="-46"/>
                        <w:jc w:val="left"/>
                        <w:rPr>
                          <w:rFonts w:cs="Arial"/>
                          <w:b/>
                          <w:bCs/>
                          <w:sz w:val="52"/>
                          <w:szCs w:val="52"/>
                        </w:rPr>
                      </w:pPr>
                      <w:r>
                        <w:rPr>
                          <w:rFonts w:cs="Arial"/>
                          <w:b/>
                          <w:bCs/>
                          <w:sz w:val="52"/>
                          <w:szCs w:val="52"/>
                        </w:rPr>
                        <w:t>Medium Term Financial Strategy as at 30</w:t>
                      </w:r>
                      <w:r w:rsidRPr="00666242">
                        <w:rPr>
                          <w:rFonts w:cs="Arial"/>
                          <w:b/>
                          <w:bCs/>
                          <w:sz w:val="52"/>
                          <w:szCs w:val="52"/>
                          <w:vertAlign w:val="superscript"/>
                        </w:rPr>
                        <w:t>th</w:t>
                      </w:r>
                      <w:r>
                        <w:rPr>
                          <w:rFonts w:cs="Arial"/>
                          <w:b/>
                          <w:bCs/>
                          <w:sz w:val="52"/>
                          <w:szCs w:val="52"/>
                        </w:rPr>
                        <w:t xml:space="preserve"> September 2016</w:t>
                      </w:r>
                    </w:p>
                  </w:txbxContent>
                </v:textbox>
              </v:shape>
            </w:pict>
          </mc:Fallback>
        </mc:AlternateContent>
      </w:r>
    </w:p>
    <w:tbl>
      <w:tblPr>
        <w:tblStyle w:val="TableGrid"/>
        <w:tblW w:w="0" w:type="auto"/>
        <w:tblLook w:val="04A0" w:firstRow="1" w:lastRow="0" w:firstColumn="1" w:lastColumn="0" w:noHBand="0" w:noVBand="1"/>
      </w:tblPr>
      <w:tblGrid>
        <w:gridCol w:w="562"/>
        <w:gridCol w:w="5437"/>
        <w:gridCol w:w="3017"/>
      </w:tblGrid>
      <w:tr w:rsidR="008150B9" w:rsidRPr="00882976" w14:paraId="44828FE1" w14:textId="77777777" w:rsidTr="008150B9">
        <w:trPr>
          <w:trHeight w:val="699"/>
        </w:trPr>
        <w:tc>
          <w:tcPr>
            <w:tcW w:w="562" w:type="dxa"/>
            <w:vAlign w:val="center"/>
          </w:tcPr>
          <w:p w14:paraId="03DB1889" w14:textId="77777777" w:rsidR="008150B9" w:rsidRPr="00882976" w:rsidRDefault="008150B9" w:rsidP="008150B9">
            <w:pPr>
              <w:spacing w:after="0"/>
              <w:ind w:right="-46"/>
              <w:jc w:val="center"/>
              <w:rPr>
                <w:rFonts w:cs="Arial"/>
                <w:b/>
                <w:bCs/>
              </w:rPr>
            </w:pPr>
          </w:p>
        </w:tc>
        <w:tc>
          <w:tcPr>
            <w:tcW w:w="5437" w:type="dxa"/>
            <w:vAlign w:val="center"/>
          </w:tcPr>
          <w:p w14:paraId="0748E47D" w14:textId="77777777" w:rsidR="008150B9" w:rsidRPr="00882976" w:rsidRDefault="008150B9" w:rsidP="008150B9">
            <w:pPr>
              <w:spacing w:after="0"/>
              <w:ind w:right="-46"/>
              <w:jc w:val="center"/>
              <w:rPr>
                <w:rFonts w:cs="Arial"/>
                <w:b/>
                <w:bCs/>
              </w:rPr>
            </w:pPr>
            <w:r w:rsidRPr="00882976">
              <w:rPr>
                <w:rFonts w:cs="Arial"/>
                <w:b/>
                <w:bCs/>
              </w:rPr>
              <w:t>Contents</w:t>
            </w:r>
          </w:p>
        </w:tc>
        <w:tc>
          <w:tcPr>
            <w:tcW w:w="3017" w:type="dxa"/>
            <w:vAlign w:val="center"/>
          </w:tcPr>
          <w:p w14:paraId="1272430A" w14:textId="77777777" w:rsidR="008150B9" w:rsidRPr="00882976" w:rsidRDefault="008150B9" w:rsidP="008150B9">
            <w:pPr>
              <w:spacing w:after="0"/>
              <w:ind w:right="-46"/>
              <w:jc w:val="center"/>
              <w:rPr>
                <w:rFonts w:cs="Arial"/>
                <w:b/>
                <w:bCs/>
              </w:rPr>
            </w:pPr>
            <w:r w:rsidRPr="00882976">
              <w:rPr>
                <w:rFonts w:cs="Arial"/>
                <w:b/>
                <w:bCs/>
              </w:rPr>
              <w:t>Page</w:t>
            </w:r>
          </w:p>
        </w:tc>
      </w:tr>
      <w:tr w:rsidR="008150B9" w:rsidRPr="00882976" w14:paraId="029310E1" w14:textId="77777777" w:rsidTr="008150B9">
        <w:tc>
          <w:tcPr>
            <w:tcW w:w="562" w:type="dxa"/>
            <w:vAlign w:val="center"/>
          </w:tcPr>
          <w:p w14:paraId="5FD67BE2" w14:textId="77777777" w:rsidR="008150B9" w:rsidRPr="00882976" w:rsidRDefault="008150B9" w:rsidP="008150B9">
            <w:pPr>
              <w:spacing w:after="0"/>
              <w:ind w:right="-46"/>
              <w:jc w:val="center"/>
              <w:rPr>
                <w:rFonts w:cs="Arial"/>
                <w:b/>
                <w:bCs/>
              </w:rPr>
            </w:pPr>
            <w:r w:rsidRPr="00882976">
              <w:rPr>
                <w:rFonts w:cs="Arial"/>
                <w:b/>
                <w:bCs/>
              </w:rPr>
              <w:t>1</w:t>
            </w:r>
          </w:p>
        </w:tc>
        <w:tc>
          <w:tcPr>
            <w:tcW w:w="5437" w:type="dxa"/>
            <w:vAlign w:val="center"/>
          </w:tcPr>
          <w:p w14:paraId="425B8270" w14:textId="77777777" w:rsidR="000A747F" w:rsidRPr="00882976" w:rsidRDefault="000A747F" w:rsidP="003D58F1">
            <w:pPr>
              <w:spacing w:after="0"/>
              <w:ind w:right="-46"/>
              <w:rPr>
                <w:rFonts w:cs="Arial"/>
                <w:b/>
                <w:bCs/>
              </w:rPr>
            </w:pPr>
          </w:p>
          <w:p w14:paraId="4BA7EDC2" w14:textId="77777777" w:rsidR="008150B9" w:rsidRPr="00882976" w:rsidRDefault="008150B9" w:rsidP="003D58F1">
            <w:pPr>
              <w:spacing w:after="0"/>
              <w:ind w:right="-46"/>
              <w:rPr>
                <w:rFonts w:cs="Arial"/>
                <w:b/>
                <w:bCs/>
              </w:rPr>
            </w:pPr>
            <w:r w:rsidRPr="00882976">
              <w:rPr>
                <w:rFonts w:cs="Arial"/>
                <w:b/>
                <w:bCs/>
              </w:rPr>
              <w:t>Executive Summary</w:t>
            </w:r>
          </w:p>
          <w:p w14:paraId="04591AF9" w14:textId="77777777" w:rsidR="000A747F" w:rsidRPr="00882976" w:rsidRDefault="000A747F" w:rsidP="003D58F1">
            <w:pPr>
              <w:spacing w:after="0"/>
              <w:ind w:right="-46"/>
              <w:rPr>
                <w:rFonts w:cs="Arial"/>
                <w:b/>
                <w:bCs/>
              </w:rPr>
            </w:pPr>
          </w:p>
        </w:tc>
        <w:tc>
          <w:tcPr>
            <w:tcW w:w="3017" w:type="dxa"/>
            <w:vAlign w:val="center"/>
          </w:tcPr>
          <w:p w14:paraId="696C80B8" w14:textId="444C9BCE" w:rsidR="008150B9" w:rsidRPr="00882976" w:rsidRDefault="00C90108" w:rsidP="000A747F">
            <w:pPr>
              <w:spacing w:after="0"/>
              <w:ind w:right="-46"/>
              <w:jc w:val="center"/>
              <w:rPr>
                <w:rFonts w:cs="Arial"/>
                <w:b/>
                <w:bCs/>
              </w:rPr>
            </w:pPr>
            <w:r w:rsidRPr="00882976">
              <w:rPr>
                <w:rFonts w:cs="Arial"/>
                <w:b/>
                <w:bCs/>
              </w:rPr>
              <w:t>3</w:t>
            </w:r>
          </w:p>
        </w:tc>
      </w:tr>
      <w:tr w:rsidR="008150B9" w:rsidRPr="00882976" w14:paraId="64100E30" w14:textId="77777777" w:rsidTr="008150B9">
        <w:tc>
          <w:tcPr>
            <w:tcW w:w="562" w:type="dxa"/>
            <w:vAlign w:val="center"/>
          </w:tcPr>
          <w:p w14:paraId="5EFB28C8" w14:textId="77777777" w:rsidR="008150B9" w:rsidRPr="00882976" w:rsidRDefault="008150B9" w:rsidP="008150B9">
            <w:pPr>
              <w:spacing w:after="0"/>
              <w:ind w:right="-46"/>
              <w:jc w:val="center"/>
              <w:rPr>
                <w:rFonts w:cs="Arial"/>
                <w:b/>
                <w:bCs/>
              </w:rPr>
            </w:pPr>
            <w:r w:rsidRPr="00882976">
              <w:rPr>
                <w:rFonts w:cs="Arial"/>
                <w:b/>
                <w:bCs/>
              </w:rPr>
              <w:t>2</w:t>
            </w:r>
          </w:p>
        </w:tc>
        <w:tc>
          <w:tcPr>
            <w:tcW w:w="5437" w:type="dxa"/>
            <w:vAlign w:val="center"/>
          </w:tcPr>
          <w:p w14:paraId="64585E78" w14:textId="77777777" w:rsidR="000A747F" w:rsidRPr="00882976" w:rsidRDefault="000A747F" w:rsidP="003D58F1">
            <w:pPr>
              <w:spacing w:after="0"/>
              <w:ind w:right="-46"/>
              <w:rPr>
                <w:rFonts w:cs="Arial"/>
                <w:b/>
                <w:bCs/>
              </w:rPr>
            </w:pPr>
          </w:p>
          <w:p w14:paraId="2D2CFBF5" w14:textId="77777777" w:rsidR="008150B9" w:rsidRPr="00882976" w:rsidRDefault="008150B9" w:rsidP="003D58F1">
            <w:pPr>
              <w:spacing w:after="0"/>
              <w:ind w:right="-46"/>
              <w:rPr>
                <w:rFonts w:cs="Arial"/>
                <w:b/>
                <w:bCs/>
              </w:rPr>
            </w:pPr>
            <w:r w:rsidRPr="00882976">
              <w:rPr>
                <w:rFonts w:cs="Arial"/>
                <w:b/>
                <w:bCs/>
              </w:rPr>
              <w:t>Resources</w:t>
            </w:r>
          </w:p>
          <w:p w14:paraId="31CAC218" w14:textId="77777777" w:rsidR="000A747F" w:rsidRPr="00882976" w:rsidRDefault="000A747F" w:rsidP="003D58F1">
            <w:pPr>
              <w:spacing w:after="0"/>
              <w:ind w:right="-46"/>
              <w:rPr>
                <w:rFonts w:cs="Arial"/>
                <w:b/>
                <w:bCs/>
              </w:rPr>
            </w:pPr>
          </w:p>
        </w:tc>
        <w:tc>
          <w:tcPr>
            <w:tcW w:w="3017" w:type="dxa"/>
            <w:vAlign w:val="center"/>
          </w:tcPr>
          <w:p w14:paraId="4A84CF43" w14:textId="117904AF" w:rsidR="008150B9" w:rsidRPr="00882976" w:rsidRDefault="002C59FD" w:rsidP="000A747F">
            <w:pPr>
              <w:spacing w:after="0"/>
              <w:ind w:right="-46"/>
              <w:jc w:val="center"/>
              <w:rPr>
                <w:rFonts w:cs="Arial"/>
                <w:b/>
                <w:bCs/>
              </w:rPr>
            </w:pPr>
            <w:r>
              <w:rPr>
                <w:rFonts w:cs="Arial"/>
                <w:b/>
                <w:bCs/>
              </w:rPr>
              <w:t>6</w:t>
            </w:r>
          </w:p>
        </w:tc>
      </w:tr>
      <w:tr w:rsidR="008150B9" w:rsidRPr="00882976" w14:paraId="0566995B" w14:textId="77777777" w:rsidTr="008150B9">
        <w:tc>
          <w:tcPr>
            <w:tcW w:w="562" w:type="dxa"/>
            <w:vAlign w:val="center"/>
          </w:tcPr>
          <w:p w14:paraId="56FD20E7" w14:textId="77777777" w:rsidR="008150B9" w:rsidRPr="00882976" w:rsidRDefault="008150B9" w:rsidP="008150B9">
            <w:pPr>
              <w:spacing w:after="0"/>
              <w:ind w:right="-46"/>
              <w:jc w:val="center"/>
              <w:rPr>
                <w:rFonts w:cs="Arial"/>
                <w:b/>
                <w:bCs/>
              </w:rPr>
            </w:pPr>
            <w:r w:rsidRPr="00882976">
              <w:rPr>
                <w:rFonts w:cs="Arial"/>
                <w:b/>
                <w:bCs/>
              </w:rPr>
              <w:t>3</w:t>
            </w:r>
          </w:p>
        </w:tc>
        <w:tc>
          <w:tcPr>
            <w:tcW w:w="5437" w:type="dxa"/>
            <w:vAlign w:val="center"/>
          </w:tcPr>
          <w:p w14:paraId="47E4131C" w14:textId="77777777" w:rsidR="000A747F" w:rsidRPr="00882976" w:rsidRDefault="000A747F" w:rsidP="003D58F1">
            <w:pPr>
              <w:spacing w:after="0"/>
              <w:ind w:right="-46"/>
              <w:rPr>
                <w:rFonts w:cs="Arial"/>
                <w:b/>
                <w:bCs/>
              </w:rPr>
            </w:pPr>
          </w:p>
          <w:p w14:paraId="13BE072B" w14:textId="77777777" w:rsidR="008150B9" w:rsidRPr="00882976" w:rsidRDefault="00E7457D" w:rsidP="003D58F1">
            <w:pPr>
              <w:spacing w:after="0"/>
              <w:ind w:right="-46"/>
              <w:rPr>
                <w:rFonts w:cs="Arial"/>
                <w:b/>
                <w:bCs/>
              </w:rPr>
            </w:pPr>
            <w:r w:rsidRPr="00882976">
              <w:rPr>
                <w:rFonts w:cs="Arial"/>
                <w:b/>
                <w:bCs/>
              </w:rPr>
              <w:t>Net Spending Pressures</w:t>
            </w:r>
          </w:p>
          <w:p w14:paraId="7C25C8F8" w14:textId="77777777" w:rsidR="000A747F" w:rsidRPr="00882976" w:rsidRDefault="000A747F" w:rsidP="003D58F1">
            <w:pPr>
              <w:spacing w:after="0"/>
              <w:ind w:right="-46"/>
              <w:rPr>
                <w:rFonts w:cs="Arial"/>
                <w:b/>
                <w:bCs/>
              </w:rPr>
            </w:pPr>
          </w:p>
        </w:tc>
        <w:tc>
          <w:tcPr>
            <w:tcW w:w="3017" w:type="dxa"/>
            <w:vAlign w:val="center"/>
          </w:tcPr>
          <w:p w14:paraId="509BD5D1" w14:textId="4DAAA9F7" w:rsidR="008150B9" w:rsidRPr="00882976" w:rsidRDefault="00C90108" w:rsidP="000A747F">
            <w:pPr>
              <w:spacing w:after="0"/>
              <w:ind w:right="-46"/>
              <w:jc w:val="center"/>
              <w:rPr>
                <w:rFonts w:cs="Arial"/>
                <w:b/>
                <w:bCs/>
              </w:rPr>
            </w:pPr>
            <w:r w:rsidRPr="00882976">
              <w:rPr>
                <w:rFonts w:cs="Arial"/>
                <w:b/>
                <w:bCs/>
              </w:rPr>
              <w:t>10</w:t>
            </w:r>
          </w:p>
        </w:tc>
      </w:tr>
      <w:tr w:rsidR="00E7457D" w:rsidRPr="00882976" w14:paraId="201A99B6" w14:textId="77777777" w:rsidTr="008150B9">
        <w:tc>
          <w:tcPr>
            <w:tcW w:w="562" w:type="dxa"/>
            <w:vAlign w:val="center"/>
          </w:tcPr>
          <w:p w14:paraId="4C15F726" w14:textId="77777777" w:rsidR="00E7457D" w:rsidRPr="00882976" w:rsidRDefault="00E7457D" w:rsidP="008150B9">
            <w:pPr>
              <w:spacing w:after="0"/>
              <w:ind w:right="-46"/>
              <w:jc w:val="center"/>
              <w:rPr>
                <w:rFonts w:cs="Arial"/>
                <w:b/>
                <w:bCs/>
              </w:rPr>
            </w:pPr>
            <w:r w:rsidRPr="00882976">
              <w:rPr>
                <w:rFonts w:cs="Arial"/>
                <w:b/>
                <w:bCs/>
              </w:rPr>
              <w:t>4</w:t>
            </w:r>
          </w:p>
        </w:tc>
        <w:tc>
          <w:tcPr>
            <w:tcW w:w="5437" w:type="dxa"/>
            <w:vAlign w:val="center"/>
          </w:tcPr>
          <w:p w14:paraId="01B74466" w14:textId="77777777" w:rsidR="000A747F" w:rsidRPr="00882976" w:rsidRDefault="000A747F" w:rsidP="000A747F">
            <w:pPr>
              <w:spacing w:after="0"/>
              <w:ind w:right="-46"/>
              <w:rPr>
                <w:rFonts w:cs="Arial"/>
                <w:b/>
                <w:bCs/>
              </w:rPr>
            </w:pPr>
          </w:p>
          <w:p w14:paraId="6EC7BD7E" w14:textId="77777777" w:rsidR="000A747F" w:rsidRPr="00882976" w:rsidRDefault="000A747F" w:rsidP="000A747F">
            <w:pPr>
              <w:spacing w:after="0"/>
              <w:ind w:right="-46"/>
              <w:rPr>
                <w:rFonts w:cs="Arial"/>
                <w:b/>
                <w:bCs/>
              </w:rPr>
            </w:pPr>
            <w:r w:rsidRPr="00882976">
              <w:rPr>
                <w:rFonts w:cs="Arial"/>
                <w:b/>
                <w:bCs/>
              </w:rPr>
              <w:t>Future Risks</w:t>
            </w:r>
          </w:p>
          <w:p w14:paraId="7FBD6CB4" w14:textId="77777777" w:rsidR="000A747F" w:rsidRPr="00882976" w:rsidRDefault="000A747F" w:rsidP="000A747F">
            <w:pPr>
              <w:spacing w:after="0"/>
              <w:ind w:right="-46"/>
              <w:rPr>
                <w:rFonts w:cs="Arial"/>
                <w:b/>
                <w:bCs/>
              </w:rPr>
            </w:pPr>
          </w:p>
        </w:tc>
        <w:tc>
          <w:tcPr>
            <w:tcW w:w="3017" w:type="dxa"/>
            <w:vAlign w:val="center"/>
          </w:tcPr>
          <w:p w14:paraId="210035BF" w14:textId="27473A08" w:rsidR="00E7457D" w:rsidRPr="00882976" w:rsidRDefault="00C90108" w:rsidP="000A747F">
            <w:pPr>
              <w:spacing w:after="0"/>
              <w:ind w:right="-46"/>
              <w:jc w:val="center"/>
              <w:rPr>
                <w:rFonts w:cs="Arial"/>
                <w:b/>
                <w:bCs/>
              </w:rPr>
            </w:pPr>
            <w:r w:rsidRPr="00882976">
              <w:rPr>
                <w:rFonts w:cs="Arial"/>
                <w:b/>
                <w:bCs/>
              </w:rPr>
              <w:t>16</w:t>
            </w:r>
          </w:p>
        </w:tc>
      </w:tr>
    </w:tbl>
    <w:p w14:paraId="37878CDF" w14:textId="77777777" w:rsidR="0037393E" w:rsidRPr="00882976" w:rsidRDefault="0037393E" w:rsidP="003D58F1">
      <w:pPr>
        <w:spacing w:after="0"/>
        <w:ind w:right="-46"/>
        <w:rPr>
          <w:rFonts w:cs="Arial"/>
          <w:b/>
          <w:bCs/>
        </w:rPr>
      </w:pPr>
    </w:p>
    <w:p w14:paraId="663411DD" w14:textId="77777777" w:rsidR="008150B9" w:rsidRPr="00882976" w:rsidRDefault="008150B9">
      <w:pPr>
        <w:autoSpaceDE/>
        <w:autoSpaceDN/>
        <w:adjustRightInd/>
        <w:spacing w:after="0"/>
        <w:jc w:val="left"/>
        <w:rPr>
          <w:rFonts w:cs="Arial"/>
          <w:b/>
        </w:rPr>
      </w:pPr>
      <w:r w:rsidRPr="00882976">
        <w:rPr>
          <w:rFonts w:cs="Arial"/>
          <w:b/>
        </w:rPr>
        <w:br w:type="page"/>
      </w:r>
    </w:p>
    <w:p w14:paraId="769E36BB" w14:textId="77777777" w:rsidR="00932C3B" w:rsidRPr="00882976" w:rsidRDefault="00932C3B" w:rsidP="008D5D96">
      <w:pPr>
        <w:pBdr>
          <w:bottom w:val="single" w:sz="4" w:space="1" w:color="auto"/>
        </w:pBdr>
        <w:tabs>
          <w:tab w:val="left" w:pos="567"/>
          <w:tab w:val="left" w:pos="1134"/>
        </w:tabs>
        <w:spacing w:after="0"/>
        <w:rPr>
          <w:rFonts w:cs="Arial"/>
          <w:b/>
        </w:rPr>
      </w:pPr>
      <w:r w:rsidRPr="00882976">
        <w:rPr>
          <w:rFonts w:cs="Arial"/>
          <w:b/>
        </w:rPr>
        <w:lastRenderedPageBreak/>
        <w:t>Financial Outlook for the County Council: Medium Term Financial Strategy</w:t>
      </w:r>
    </w:p>
    <w:p w14:paraId="2EA68FE8" w14:textId="77777777" w:rsidR="00932C3B" w:rsidRPr="00882976" w:rsidRDefault="00932C3B" w:rsidP="008D5D96">
      <w:pPr>
        <w:tabs>
          <w:tab w:val="left" w:pos="567"/>
          <w:tab w:val="left" w:pos="1134"/>
        </w:tabs>
        <w:spacing w:after="0"/>
        <w:rPr>
          <w:rFonts w:cs="Arial"/>
        </w:rPr>
      </w:pPr>
    </w:p>
    <w:p w14:paraId="46EB8761" w14:textId="77777777" w:rsidR="008321DE" w:rsidRPr="00882976" w:rsidRDefault="008321DE" w:rsidP="00C029F0">
      <w:pPr>
        <w:pStyle w:val="ListParagraph"/>
        <w:numPr>
          <w:ilvl w:val="0"/>
          <w:numId w:val="25"/>
        </w:numPr>
        <w:spacing w:after="0"/>
        <w:ind w:left="567" w:hanging="567"/>
        <w:rPr>
          <w:rFonts w:cs="Arial"/>
          <w:b/>
        </w:rPr>
      </w:pPr>
      <w:r w:rsidRPr="00882976">
        <w:rPr>
          <w:rFonts w:cs="Arial"/>
          <w:b/>
        </w:rPr>
        <w:t>Executive Summary</w:t>
      </w:r>
    </w:p>
    <w:p w14:paraId="54B574BF" w14:textId="77777777" w:rsidR="008321DE" w:rsidRPr="00882976" w:rsidRDefault="008321DE" w:rsidP="008D5D96">
      <w:pPr>
        <w:tabs>
          <w:tab w:val="left" w:pos="567"/>
          <w:tab w:val="left" w:pos="1134"/>
        </w:tabs>
        <w:spacing w:after="0"/>
        <w:rPr>
          <w:rFonts w:cs="Arial"/>
          <w:b/>
        </w:rPr>
      </w:pPr>
    </w:p>
    <w:p w14:paraId="25F38ED9" w14:textId="2F5D6F3E" w:rsidR="003D58F1" w:rsidRPr="00882976" w:rsidRDefault="006E0BEE" w:rsidP="008D5D96">
      <w:pPr>
        <w:tabs>
          <w:tab w:val="left" w:pos="567"/>
          <w:tab w:val="left" w:pos="1134"/>
        </w:tabs>
        <w:spacing w:after="0"/>
        <w:rPr>
          <w:rFonts w:cs="Arial"/>
          <w:b/>
        </w:rPr>
      </w:pPr>
      <w:r w:rsidRPr="00882976">
        <w:rPr>
          <w:rFonts w:cs="Arial"/>
          <w:b/>
        </w:rPr>
        <w:t xml:space="preserve">1.1 </w:t>
      </w:r>
      <w:r w:rsidR="0016463C">
        <w:rPr>
          <w:rFonts w:cs="Arial"/>
          <w:b/>
        </w:rPr>
        <w:t>Introduction</w:t>
      </w:r>
    </w:p>
    <w:p w14:paraId="0BBBE40A" w14:textId="3B5CB773" w:rsidR="001A3073" w:rsidRPr="00882976" w:rsidRDefault="00697D1D" w:rsidP="008D5D96">
      <w:pPr>
        <w:tabs>
          <w:tab w:val="left" w:pos="567"/>
          <w:tab w:val="left" w:pos="1134"/>
        </w:tabs>
        <w:spacing w:after="0"/>
        <w:rPr>
          <w:rFonts w:cs="Arial"/>
        </w:rPr>
      </w:pPr>
      <w:r w:rsidRPr="00882976">
        <w:rPr>
          <w:rFonts w:cs="Arial"/>
        </w:rPr>
        <w:t>This report</w:t>
      </w:r>
      <w:r w:rsidR="00FC2484" w:rsidRPr="00882976">
        <w:rPr>
          <w:rFonts w:cs="Arial"/>
        </w:rPr>
        <w:t xml:space="preserve"> outlines the </w:t>
      </w:r>
      <w:r w:rsidRPr="00882976">
        <w:rPr>
          <w:rFonts w:cs="Arial"/>
        </w:rPr>
        <w:t>financial position facing Lancashire Cou</w:t>
      </w:r>
      <w:r w:rsidR="005E0399" w:rsidRPr="00882976">
        <w:rPr>
          <w:rFonts w:cs="Arial"/>
        </w:rPr>
        <w:t>nty Council over the period 2017/18</w:t>
      </w:r>
      <w:r w:rsidRPr="00882976">
        <w:rPr>
          <w:rFonts w:cs="Arial"/>
        </w:rPr>
        <w:t xml:space="preserve"> to 2020/21. </w:t>
      </w:r>
      <w:r w:rsidR="000C5639" w:rsidRPr="00882976">
        <w:rPr>
          <w:rFonts w:cs="Arial"/>
        </w:rPr>
        <w:t xml:space="preserve">The </w:t>
      </w:r>
      <w:r w:rsidR="005C4C7C" w:rsidRPr="00882976">
        <w:rPr>
          <w:rFonts w:cs="Arial"/>
        </w:rPr>
        <w:t xml:space="preserve">County </w:t>
      </w:r>
      <w:r w:rsidR="000C5639" w:rsidRPr="00882976">
        <w:rPr>
          <w:rFonts w:cs="Arial"/>
        </w:rPr>
        <w:t xml:space="preserve">Council is experiencing an ongoing period of unprecedented financial pressure as a result of the </w:t>
      </w:r>
      <w:r w:rsidR="00B72437" w:rsidRPr="00882976">
        <w:rPr>
          <w:rFonts w:cs="Arial"/>
        </w:rPr>
        <w:t>G</w:t>
      </w:r>
      <w:r w:rsidR="000C5639" w:rsidRPr="00882976">
        <w:rPr>
          <w:rFonts w:cs="Arial"/>
        </w:rPr>
        <w:t>overnment's extended programme of austerity combined with significant increases in demand for public services.</w:t>
      </w:r>
      <w:r w:rsidRPr="00882976">
        <w:rPr>
          <w:rFonts w:cs="Arial"/>
        </w:rPr>
        <w:t xml:space="preserve"> </w:t>
      </w:r>
    </w:p>
    <w:p w14:paraId="422818DE" w14:textId="77777777" w:rsidR="001A3073" w:rsidRPr="00882976" w:rsidRDefault="001A3073" w:rsidP="008D5D96">
      <w:pPr>
        <w:tabs>
          <w:tab w:val="left" w:pos="567"/>
          <w:tab w:val="left" w:pos="1134"/>
        </w:tabs>
        <w:spacing w:after="0"/>
        <w:rPr>
          <w:rFonts w:cs="Arial"/>
        </w:rPr>
      </w:pPr>
    </w:p>
    <w:p w14:paraId="174ED032" w14:textId="52923A70" w:rsidR="00333713" w:rsidRPr="00882976" w:rsidRDefault="00FC2484" w:rsidP="003D09D8">
      <w:pPr>
        <w:tabs>
          <w:tab w:val="left" w:pos="567"/>
          <w:tab w:val="left" w:pos="1134"/>
        </w:tabs>
        <w:spacing w:after="0"/>
        <w:rPr>
          <w:rFonts w:cs="Arial"/>
        </w:rPr>
      </w:pPr>
      <w:r w:rsidRPr="00882976">
        <w:rPr>
          <w:rFonts w:cs="Arial"/>
        </w:rPr>
        <w:t>In September 2016 Cabinet received a report outlining the lates</w:t>
      </w:r>
      <w:r w:rsidR="006A17BD" w:rsidRPr="00882976">
        <w:rPr>
          <w:rFonts w:cs="Arial"/>
        </w:rPr>
        <w:t xml:space="preserve">t financial position facing Lancashire Council which covered the period 2017/18 – 2020/21 and estimated an estimated in year funding gap of £147.944m by the end of the 4 year period. The Council </w:t>
      </w:r>
      <w:r w:rsidR="003C40E6" w:rsidRPr="00882976">
        <w:rPr>
          <w:rFonts w:cs="Arial"/>
        </w:rPr>
        <w:t>being</w:t>
      </w:r>
      <w:r w:rsidR="006A17BD" w:rsidRPr="00882976">
        <w:rPr>
          <w:rFonts w:cs="Arial"/>
        </w:rPr>
        <w:t xml:space="preserve"> forecast to have a cumulative deficit of £397.900m by the end of 2020/21. </w:t>
      </w:r>
    </w:p>
    <w:p w14:paraId="1B2551AF" w14:textId="77777777" w:rsidR="00FD51C5" w:rsidRPr="00882976" w:rsidRDefault="00FD51C5" w:rsidP="003D09D8">
      <w:pPr>
        <w:tabs>
          <w:tab w:val="left" w:pos="567"/>
          <w:tab w:val="left" w:pos="1134"/>
        </w:tabs>
        <w:spacing w:after="0"/>
        <w:rPr>
          <w:rFonts w:cs="Arial"/>
        </w:rPr>
      </w:pPr>
    </w:p>
    <w:p w14:paraId="0A9D205B" w14:textId="05E29EE2" w:rsidR="00FD51C5" w:rsidRPr="00882976" w:rsidRDefault="00FD51C5" w:rsidP="003D09D8">
      <w:pPr>
        <w:tabs>
          <w:tab w:val="left" w:pos="567"/>
          <w:tab w:val="left" w:pos="1134"/>
        </w:tabs>
        <w:spacing w:after="0"/>
        <w:rPr>
          <w:rFonts w:cs="Arial"/>
        </w:rPr>
      </w:pPr>
      <w:r w:rsidRPr="00882976">
        <w:rPr>
          <w:rFonts w:cs="Arial"/>
        </w:rPr>
        <w:t xml:space="preserve">This report </w:t>
      </w:r>
      <w:r w:rsidR="003C40E6" w:rsidRPr="00882976">
        <w:rPr>
          <w:rFonts w:cs="Arial"/>
        </w:rPr>
        <w:t xml:space="preserve">provides an updated position following a review of the </w:t>
      </w:r>
      <w:r w:rsidR="00CD3CC1" w:rsidRPr="00882976">
        <w:rPr>
          <w:rFonts w:cs="Arial"/>
        </w:rPr>
        <w:t>existing assumptions</w:t>
      </w:r>
      <w:r w:rsidRPr="00882976">
        <w:rPr>
          <w:rFonts w:cs="Arial"/>
        </w:rPr>
        <w:t xml:space="preserve"> </w:t>
      </w:r>
      <w:r w:rsidR="003C40E6" w:rsidRPr="00882976">
        <w:rPr>
          <w:rFonts w:cs="Arial"/>
        </w:rPr>
        <w:t xml:space="preserve">to reflect the </w:t>
      </w:r>
      <w:r w:rsidRPr="00882976">
        <w:rPr>
          <w:rFonts w:cs="Arial"/>
        </w:rPr>
        <w:t>most current information available. As a result of these reviews the funding gap has reduced to £</w:t>
      </w:r>
      <w:r w:rsidR="001F4537" w:rsidRPr="00882976">
        <w:rPr>
          <w:rFonts w:cs="Arial"/>
        </w:rPr>
        <w:t>14</w:t>
      </w:r>
      <w:r w:rsidR="009E3967" w:rsidRPr="00882976">
        <w:rPr>
          <w:rFonts w:cs="Arial"/>
        </w:rPr>
        <w:t>6.133</w:t>
      </w:r>
      <w:r w:rsidR="001F4537" w:rsidRPr="00882976">
        <w:rPr>
          <w:rFonts w:cs="Arial"/>
        </w:rPr>
        <w:t>m</w:t>
      </w:r>
      <w:r w:rsidR="005F563D" w:rsidRPr="00882976">
        <w:rPr>
          <w:rFonts w:cs="Arial"/>
        </w:rPr>
        <w:t xml:space="preserve">, however the cumulative gap has </w:t>
      </w:r>
      <w:r w:rsidR="009D4688">
        <w:rPr>
          <w:rFonts w:cs="Arial"/>
        </w:rPr>
        <w:t>increased to £411.209</w:t>
      </w:r>
      <w:r w:rsidR="005F563D" w:rsidRPr="00882976">
        <w:rPr>
          <w:rFonts w:cs="Arial"/>
        </w:rPr>
        <w:t>m as a result of a larger gap in earlier years</w:t>
      </w:r>
      <w:r w:rsidRPr="00882976">
        <w:rPr>
          <w:rFonts w:cs="Arial"/>
        </w:rPr>
        <w:t>.</w:t>
      </w:r>
      <w:r w:rsidR="00BE49A6" w:rsidRPr="00882976">
        <w:rPr>
          <w:rFonts w:cs="Arial"/>
        </w:rPr>
        <w:t xml:space="preserve"> Whilst this appears positive overall, this improved position predominantly relate</w:t>
      </w:r>
      <w:r w:rsidR="003C40E6" w:rsidRPr="00882976">
        <w:rPr>
          <w:rFonts w:cs="Arial"/>
        </w:rPr>
        <w:t>s</w:t>
      </w:r>
      <w:r w:rsidR="00BE49A6" w:rsidRPr="00882976">
        <w:rPr>
          <w:rFonts w:cs="Arial"/>
        </w:rPr>
        <w:t xml:space="preserve"> to </w:t>
      </w:r>
      <w:r w:rsidR="003C40E6" w:rsidRPr="00882976">
        <w:rPr>
          <w:rFonts w:cs="Arial"/>
        </w:rPr>
        <w:t xml:space="preserve">the </w:t>
      </w:r>
      <w:r w:rsidR="00BE49A6" w:rsidRPr="00882976">
        <w:rPr>
          <w:rFonts w:cs="Arial"/>
        </w:rPr>
        <w:t>identification of further savings</w:t>
      </w:r>
      <w:r w:rsidR="003C40E6" w:rsidRPr="00882976">
        <w:rPr>
          <w:rFonts w:cs="Arial"/>
        </w:rPr>
        <w:t xml:space="preserve"> of £1</w:t>
      </w:r>
      <w:r w:rsidR="00FB5A64" w:rsidRPr="00882976">
        <w:rPr>
          <w:rFonts w:cs="Arial"/>
        </w:rPr>
        <w:t>2.320</w:t>
      </w:r>
      <w:r w:rsidR="005F563D" w:rsidRPr="00882976">
        <w:rPr>
          <w:rFonts w:cs="Arial"/>
        </w:rPr>
        <w:t>m</w:t>
      </w:r>
      <w:r w:rsidR="003C40E6" w:rsidRPr="00882976">
        <w:rPr>
          <w:rFonts w:cs="Arial"/>
        </w:rPr>
        <w:t xml:space="preserve"> for 2017/18 and following years</w:t>
      </w:r>
      <w:r w:rsidR="00BE49A6" w:rsidRPr="00882976">
        <w:rPr>
          <w:rFonts w:cs="Arial"/>
        </w:rPr>
        <w:t xml:space="preserve">, which are offset by </w:t>
      </w:r>
      <w:r w:rsidR="003C40E6" w:rsidRPr="00882976">
        <w:rPr>
          <w:rFonts w:cs="Arial"/>
        </w:rPr>
        <w:t xml:space="preserve">a number of factors, the most significant being the continuing </w:t>
      </w:r>
      <w:r w:rsidR="00BE49A6" w:rsidRPr="00882976">
        <w:rPr>
          <w:rFonts w:cs="Arial"/>
        </w:rPr>
        <w:t xml:space="preserve">increasing demand in Children's Social Care. It </w:t>
      </w:r>
      <w:r w:rsidR="003C40E6" w:rsidRPr="00882976">
        <w:rPr>
          <w:rFonts w:cs="Arial"/>
        </w:rPr>
        <w:t xml:space="preserve">remains </w:t>
      </w:r>
      <w:r w:rsidR="00BE49A6" w:rsidRPr="00882976">
        <w:rPr>
          <w:rFonts w:cs="Arial"/>
        </w:rPr>
        <w:t xml:space="preserve">critical that the </w:t>
      </w:r>
      <w:r w:rsidR="003C40E6" w:rsidRPr="00882976">
        <w:rPr>
          <w:rFonts w:cs="Arial"/>
        </w:rPr>
        <w:t xml:space="preserve">vast majority of </w:t>
      </w:r>
      <w:r w:rsidR="00BE49A6" w:rsidRPr="00882976">
        <w:rPr>
          <w:rFonts w:cs="Arial"/>
        </w:rPr>
        <w:t xml:space="preserve">newly identified savings and previously agreed savings are delivered fully and on time, as any delay or under delivery will further increase the financial gap. </w:t>
      </w:r>
    </w:p>
    <w:p w14:paraId="5AAB0EC8" w14:textId="77777777" w:rsidR="00FA1276" w:rsidRPr="00882976" w:rsidRDefault="00FA1276" w:rsidP="003D09D8">
      <w:pPr>
        <w:tabs>
          <w:tab w:val="left" w:pos="567"/>
          <w:tab w:val="left" w:pos="1134"/>
        </w:tabs>
        <w:spacing w:after="0"/>
        <w:rPr>
          <w:rFonts w:cs="Arial"/>
        </w:rPr>
      </w:pPr>
    </w:p>
    <w:p w14:paraId="3BF03244" w14:textId="73DAADAC" w:rsidR="00FA1276" w:rsidRPr="00882976" w:rsidRDefault="00FA1276" w:rsidP="00FA1276">
      <w:pPr>
        <w:tabs>
          <w:tab w:val="left" w:pos="567"/>
          <w:tab w:val="left" w:pos="1134"/>
        </w:tabs>
        <w:spacing w:after="0"/>
        <w:rPr>
          <w:rFonts w:cs="Arial"/>
        </w:rPr>
      </w:pPr>
      <w:r w:rsidRPr="00882976">
        <w:rPr>
          <w:rFonts w:cs="Arial"/>
        </w:rPr>
        <w:t xml:space="preserve">The savings that are included cover savings identified as part of Zero Based Budget Review (ZBBR) process totalling of £6.320m in areas such as Design and Construction, Emergency Planning and Resilience and Legal and Democratic Services. In addition it has been identified as part of the detailed review of Adults Services that further savings (over the 4 year period) can be found relating to Learning Disability Remodelling (£4.800m) and in Financial Assessments (increased income) (£1.200m) through benefits maximisation. </w:t>
      </w:r>
    </w:p>
    <w:p w14:paraId="6F62FE4C" w14:textId="43C29C2D" w:rsidR="00FA1276" w:rsidRPr="00882976" w:rsidRDefault="00FA1276" w:rsidP="003D09D8">
      <w:pPr>
        <w:tabs>
          <w:tab w:val="left" w:pos="567"/>
          <w:tab w:val="left" w:pos="1134"/>
        </w:tabs>
        <w:spacing w:after="0"/>
        <w:rPr>
          <w:rFonts w:cs="Arial"/>
        </w:rPr>
      </w:pPr>
    </w:p>
    <w:p w14:paraId="1D3B021E" w14:textId="6E42A514" w:rsidR="002B7474" w:rsidRPr="00882976" w:rsidRDefault="002B7474" w:rsidP="002B7474">
      <w:pPr>
        <w:tabs>
          <w:tab w:val="left" w:pos="567"/>
          <w:tab w:val="left" w:pos="1134"/>
        </w:tabs>
        <w:spacing w:after="0"/>
        <w:rPr>
          <w:rFonts w:cs="Arial"/>
          <w:b/>
        </w:rPr>
      </w:pPr>
      <w:r w:rsidRPr="00882976">
        <w:rPr>
          <w:rFonts w:cs="Arial"/>
          <w:b/>
        </w:rPr>
        <w:t>1.2 Finan</w:t>
      </w:r>
      <w:r w:rsidR="0016463C">
        <w:rPr>
          <w:rFonts w:cs="Arial"/>
          <w:b/>
        </w:rPr>
        <w:t>cial Overview 2017/18 – 2020/21</w:t>
      </w:r>
    </w:p>
    <w:p w14:paraId="1B1EA6EF" w14:textId="09CB2B8E" w:rsidR="002B7474" w:rsidRPr="00882976" w:rsidRDefault="00803BE1" w:rsidP="003C40E6">
      <w:pPr>
        <w:pStyle w:val="NoSpacing"/>
        <w:jc w:val="both"/>
        <w:rPr>
          <w:rFonts w:cs="Arial"/>
          <w:szCs w:val="24"/>
        </w:rPr>
      </w:pPr>
      <w:r w:rsidRPr="00882976">
        <w:rPr>
          <w:rFonts w:cs="Arial"/>
          <w:szCs w:val="24"/>
        </w:rPr>
        <w:t xml:space="preserve">Under a </w:t>
      </w:r>
      <w:r w:rsidR="002B7474" w:rsidRPr="00882976">
        <w:rPr>
          <w:rFonts w:cs="Arial"/>
          <w:szCs w:val="24"/>
        </w:rPr>
        <w:t xml:space="preserve">separate Money Matters report </w:t>
      </w:r>
      <w:r w:rsidRPr="00882976">
        <w:rPr>
          <w:rFonts w:cs="Arial"/>
          <w:szCs w:val="24"/>
        </w:rPr>
        <w:t>t</w:t>
      </w:r>
      <w:r w:rsidR="002B7474" w:rsidRPr="00882976">
        <w:rPr>
          <w:rFonts w:cs="Arial"/>
          <w:szCs w:val="24"/>
        </w:rPr>
        <w:t xml:space="preserve">he County Council's financial position </w:t>
      </w:r>
      <w:r w:rsidRPr="00882976">
        <w:rPr>
          <w:rFonts w:cs="Arial"/>
          <w:szCs w:val="24"/>
        </w:rPr>
        <w:t xml:space="preserve">for 2016/17 </w:t>
      </w:r>
      <w:r w:rsidR="002B7474" w:rsidRPr="00882976">
        <w:rPr>
          <w:rFonts w:cs="Arial"/>
          <w:szCs w:val="24"/>
        </w:rPr>
        <w:t>as at 30</w:t>
      </w:r>
      <w:r w:rsidR="002B7474" w:rsidRPr="00882976">
        <w:rPr>
          <w:rFonts w:cs="Arial"/>
          <w:szCs w:val="24"/>
          <w:vertAlign w:val="superscript"/>
        </w:rPr>
        <w:t>th</w:t>
      </w:r>
      <w:r w:rsidR="002B7474" w:rsidRPr="00882976">
        <w:rPr>
          <w:rFonts w:cs="Arial"/>
          <w:szCs w:val="24"/>
        </w:rPr>
        <w:t xml:space="preserve"> September </w:t>
      </w:r>
      <w:r w:rsidRPr="00882976">
        <w:rPr>
          <w:rFonts w:cs="Arial"/>
          <w:szCs w:val="24"/>
        </w:rPr>
        <w:t>has been outlined (£</w:t>
      </w:r>
      <w:r w:rsidR="003C40E6" w:rsidRPr="00882976">
        <w:rPr>
          <w:rFonts w:cs="Arial"/>
          <w:szCs w:val="24"/>
        </w:rPr>
        <w:t>13.271m forecast</w:t>
      </w:r>
      <w:r w:rsidRPr="00882976">
        <w:rPr>
          <w:rFonts w:cs="Arial"/>
          <w:szCs w:val="24"/>
        </w:rPr>
        <w:t xml:space="preserve"> underspend)</w:t>
      </w:r>
      <w:r w:rsidR="002B7474" w:rsidRPr="00882976">
        <w:rPr>
          <w:rFonts w:cs="Arial"/>
          <w:szCs w:val="24"/>
        </w:rPr>
        <w:t xml:space="preserve">. </w:t>
      </w:r>
      <w:r w:rsidRPr="00882976">
        <w:rPr>
          <w:rFonts w:cs="Arial"/>
          <w:szCs w:val="24"/>
        </w:rPr>
        <w:t xml:space="preserve">This is a significant improvement compared to the financial position reported to Cabinet in September, </w:t>
      </w:r>
      <w:r w:rsidR="003C40E6" w:rsidRPr="00882976">
        <w:rPr>
          <w:rFonts w:cs="Arial"/>
          <w:szCs w:val="24"/>
        </w:rPr>
        <w:t xml:space="preserve">but is primarily the result of Treasury Management activities and the underlying position reflects increasing pressures on demand led budgets, particularly Children's Social Care.   </w:t>
      </w:r>
    </w:p>
    <w:p w14:paraId="78FC56F4" w14:textId="77777777" w:rsidR="002B7474" w:rsidRPr="00882976" w:rsidRDefault="002B7474" w:rsidP="00D81A94">
      <w:pPr>
        <w:pStyle w:val="NoSpacing"/>
        <w:rPr>
          <w:rFonts w:cs="Arial"/>
          <w:szCs w:val="24"/>
        </w:rPr>
      </w:pPr>
    </w:p>
    <w:p w14:paraId="4C5FAF61" w14:textId="2FA3B962" w:rsidR="002B7474" w:rsidRPr="00882976" w:rsidRDefault="002B7474" w:rsidP="00D81A94">
      <w:pPr>
        <w:pStyle w:val="NoSpacing"/>
        <w:rPr>
          <w:rFonts w:cs="Arial"/>
          <w:szCs w:val="24"/>
        </w:rPr>
      </w:pPr>
      <w:r w:rsidRPr="00882976">
        <w:rPr>
          <w:rFonts w:cs="Arial"/>
          <w:szCs w:val="24"/>
        </w:rPr>
        <w:t>The assumptions made in the original MTFS have been reviewed and been updated to reflect t</w:t>
      </w:r>
      <w:r w:rsidR="002C59FD">
        <w:rPr>
          <w:rFonts w:cs="Arial"/>
          <w:szCs w:val="24"/>
        </w:rPr>
        <w:t>he latest information available.</w:t>
      </w:r>
    </w:p>
    <w:p w14:paraId="03A0D6DE" w14:textId="77777777" w:rsidR="002B7474" w:rsidRPr="00882976" w:rsidRDefault="002B7474" w:rsidP="00D81A94">
      <w:pPr>
        <w:pStyle w:val="NoSpacing"/>
        <w:rPr>
          <w:rFonts w:cs="Arial"/>
          <w:szCs w:val="24"/>
        </w:rPr>
      </w:pPr>
    </w:p>
    <w:p w14:paraId="2E81744B" w14:textId="77777777" w:rsidR="0016463C" w:rsidRDefault="0016463C" w:rsidP="00D81A94">
      <w:pPr>
        <w:pStyle w:val="NoSpacing"/>
        <w:rPr>
          <w:rFonts w:cs="Arial"/>
          <w:szCs w:val="24"/>
        </w:rPr>
      </w:pPr>
    </w:p>
    <w:p w14:paraId="375721C3" w14:textId="77777777" w:rsidR="0016463C" w:rsidRDefault="0016463C" w:rsidP="00D81A94">
      <w:pPr>
        <w:pStyle w:val="NoSpacing"/>
        <w:rPr>
          <w:rFonts w:cs="Arial"/>
          <w:szCs w:val="24"/>
        </w:rPr>
      </w:pPr>
    </w:p>
    <w:p w14:paraId="00BB4536" w14:textId="01F6ED5A" w:rsidR="00791642" w:rsidRPr="00882976" w:rsidRDefault="00D81A94" w:rsidP="00D81A94">
      <w:pPr>
        <w:pStyle w:val="NoSpacing"/>
        <w:rPr>
          <w:rFonts w:cs="Arial"/>
          <w:szCs w:val="24"/>
        </w:rPr>
      </w:pPr>
      <w:r w:rsidRPr="00882976">
        <w:rPr>
          <w:rFonts w:cs="Arial"/>
          <w:szCs w:val="24"/>
        </w:rPr>
        <w:lastRenderedPageBreak/>
        <w:t>The table below provides a detailed analysis and movements between the previously reported financial gap and the revised financial gap:</w:t>
      </w:r>
    </w:p>
    <w:p w14:paraId="6A7AC9FF" w14:textId="77777777" w:rsidR="00D81A94" w:rsidRPr="00882976" w:rsidRDefault="00D81A94" w:rsidP="00D81A94">
      <w:pPr>
        <w:pStyle w:val="NoSpacing"/>
        <w:rPr>
          <w:rFonts w:cs="Arial"/>
          <w:b/>
          <w:szCs w:val="24"/>
        </w:rPr>
      </w:pPr>
    </w:p>
    <w:tbl>
      <w:tblPr>
        <w:tblStyle w:val="TableGrid"/>
        <w:tblW w:w="9823" w:type="dxa"/>
        <w:jc w:val="center"/>
        <w:tblLayout w:type="fixed"/>
        <w:tblLook w:val="04A0" w:firstRow="1" w:lastRow="0" w:firstColumn="1" w:lastColumn="0" w:noHBand="0" w:noVBand="1"/>
      </w:tblPr>
      <w:tblGrid>
        <w:gridCol w:w="3403"/>
        <w:gridCol w:w="1284"/>
        <w:gridCol w:w="1284"/>
        <w:gridCol w:w="1284"/>
        <w:gridCol w:w="1284"/>
        <w:gridCol w:w="1284"/>
      </w:tblGrid>
      <w:tr w:rsidR="00791642" w:rsidRPr="00882976" w14:paraId="1BF60706" w14:textId="6E4558A2" w:rsidTr="00791642">
        <w:trPr>
          <w:trHeight w:val="593"/>
          <w:jc w:val="center"/>
        </w:trPr>
        <w:tc>
          <w:tcPr>
            <w:tcW w:w="3403" w:type="dxa"/>
            <w:shd w:val="clear" w:color="auto" w:fill="BFBFBF" w:themeFill="background1" w:themeFillShade="BF"/>
            <w:vAlign w:val="center"/>
          </w:tcPr>
          <w:p w14:paraId="56DD0059" w14:textId="77777777" w:rsidR="00791642" w:rsidRPr="00882976" w:rsidRDefault="00791642" w:rsidP="00791642">
            <w:pPr>
              <w:pStyle w:val="NoSpacing"/>
              <w:jc w:val="center"/>
              <w:rPr>
                <w:rFonts w:cs="Arial"/>
                <w:b/>
                <w:szCs w:val="24"/>
              </w:rPr>
            </w:pPr>
          </w:p>
        </w:tc>
        <w:tc>
          <w:tcPr>
            <w:tcW w:w="1284" w:type="dxa"/>
            <w:shd w:val="clear" w:color="auto" w:fill="BFBFBF" w:themeFill="background1" w:themeFillShade="BF"/>
            <w:vAlign w:val="center"/>
          </w:tcPr>
          <w:p w14:paraId="776345A3" w14:textId="77777777" w:rsidR="00791642" w:rsidRPr="00882976" w:rsidRDefault="00791642" w:rsidP="00791642">
            <w:pPr>
              <w:pStyle w:val="NoSpacing"/>
              <w:jc w:val="center"/>
              <w:rPr>
                <w:rFonts w:cs="Arial"/>
                <w:b/>
                <w:szCs w:val="24"/>
              </w:rPr>
            </w:pPr>
            <w:r w:rsidRPr="00882976">
              <w:rPr>
                <w:rFonts w:cs="Arial"/>
                <w:b/>
                <w:szCs w:val="24"/>
              </w:rPr>
              <w:t>2017/18</w:t>
            </w:r>
          </w:p>
          <w:p w14:paraId="36736491" w14:textId="77777777" w:rsidR="00791642" w:rsidRPr="00882976" w:rsidRDefault="00791642" w:rsidP="00791642">
            <w:pPr>
              <w:pStyle w:val="NoSpacing"/>
              <w:jc w:val="center"/>
              <w:rPr>
                <w:rFonts w:cs="Arial"/>
                <w:b/>
                <w:szCs w:val="24"/>
              </w:rPr>
            </w:pPr>
            <w:r w:rsidRPr="00882976">
              <w:rPr>
                <w:rFonts w:cs="Arial"/>
                <w:b/>
                <w:szCs w:val="24"/>
              </w:rPr>
              <w:t>£m</w:t>
            </w:r>
          </w:p>
        </w:tc>
        <w:tc>
          <w:tcPr>
            <w:tcW w:w="1284" w:type="dxa"/>
            <w:shd w:val="clear" w:color="auto" w:fill="BFBFBF" w:themeFill="background1" w:themeFillShade="BF"/>
            <w:vAlign w:val="center"/>
          </w:tcPr>
          <w:p w14:paraId="03E5ED50" w14:textId="77777777" w:rsidR="00791642" w:rsidRPr="00882976" w:rsidRDefault="00791642" w:rsidP="00791642">
            <w:pPr>
              <w:pStyle w:val="NoSpacing"/>
              <w:jc w:val="center"/>
              <w:rPr>
                <w:rFonts w:cs="Arial"/>
                <w:b/>
                <w:szCs w:val="24"/>
              </w:rPr>
            </w:pPr>
            <w:r w:rsidRPr="00882976">
              <w:rPr>
                <w:rFonts w:cs="Arial"/>
                <w:b/>
                <w:szCs w:val="24"/>
              </w:rPr>
              <w:t>2018/19</w:t>
            </w:r>
          </w:p>
          <w:p w14:paraId="26CDD95A" w14:textId="77777777" w:rsidR="00791642" w:rsidRPr="00882976" w:rsidRDefault="00791642" w:rsidP="00791642">
            <w:pPr>
              <w:pStyle w:val="NoSpacing"/>
              <w:jc w:val="center"/>
              <w:rPr>
                <w:rFonts w:cs="Arial"/>
                <w:b/>
                <w:szCs w:val="24"/>
              </w:rPr>
            </w:pPr>
            <w:r w:rsidRPr="00882976">
              <w:rPr>
                <w:rFonts w:cs="Arial"/>
                <w:b/>
                <w:szCs w:val="24"/>
              </w:rPr>
              <w:t>£m</w:t>
            </w:r>
          </w:p>
        </w:tc>
        <w:tc>
          <w:tcPr>
            <w:tcW w:w="1284" w:type="dxa"/>
            <w:shd w:val="clear" w:color="auto" w:fill="BFBFBF" w:themeFill="background1" w:themeFillShade="BF"/>
            <w:vAlign w:val="center"/>
          </w:tcPr>
          <w:p w14:paraId="42180984" w14:textId="77777777" w:rsidR="00791642" w:rsidRPr="00882976" w:rsidRDefault="00791642" w:rsidP="00791642">
            <w:pPr>
              <w:pStyle w:val="NoSpacing"/>
              <w:jc w:val="center"/>
              <w:rPr>
                <w:rFonts w:cs="Arial"/>
                <w:b/>
                <w:szCs w:val="24"/>
              </w:rPr>
            </w:pPr>
            <w:r w:rsidRPr="00882976">
              <w:rPr>
                <w:rFonts w:cs="Arial"/>
                <w:b/>
                <w:szCs w:val="24"/>
              </w:rPr>
              <w:t>2019/20</w:t>
            </w:r>
          </w:p>
          <w:p w14:paraId="2F31F328" w14:textId="77777777" w:rsidR="00791642" w:rsidRPr="00882976" w:rsidRDefault="00791642" w:rsidP="00791642">
            <w:pPr>
              <w:pStyle w:val="NoSpacing"/>
              <w:jc w:val="center"/>
              <w:rPr>
                <w:rFonts w:cs="Arial"/>
                <w:b/>
                <w:szCs w:val="24"/>
              </w:rPr>
            </w:pPr>
            <w:r w:rsidRPr="00882976">
              <w:rPr>
                <w:rFonts w:cs="Arial"/>
                <w:b/>
                <w:szCs w:val="24"/>
              </w:rPr>
              <w:t>£m</w:t>
            </w:r>
          </w:p>
        </w:tc>
        <w:tc>
          <w:tcPr>
            <w:tcW w:w="1284" w:type="dxa"/>
            <w:shd w:val="clear" w:color="auto" w:fill="BFBFBF" w:themeFill="background1" w:themeFillShade="BF"/>
            <w:vAlign w:val="center"/>
          </w:tcPr>
          <w:p w14:paraId="2A4A1615" w14:textId="77777777" w:rsidR="00791642" w:rsidRPr="00882976" w:rsidRDefault="00791642" w:rsidP="00791642">
            <w:pPr>
              <w:pStyle w:val="NoSpacing"/>
              <w:jc w:val="center"/>
              <w:rPr>
                <w:rFonts w:cs="Arial"/>
                <w:b/>
                <w:szCs w:val="24"/>
              </w:rPr>
            </w:pPr>
            <w:r w:rsidRPr="00882976">
              <w:rPr>
                <w:rFonts w:cs="Arial"/>
                <w:b/>
                <w:szCs w:val="24"/>
              </w:rPr>
              <w:t>2020/21</w:t>
            </w:r>
          </w:p>
          <w:p w14:paraId="773DE138" w14:textId="77777777" w:rsidR="00791642" w:rsidRPr="00882976" w:rsidRDefault="00791642" w:rsidP="00791642">
            <w:pPr>
              <w:pStyle w:val="NoSpacing"/>
              <w:jc w:val="center"/>
              <w:rPr>
                <w:rFonts w:cs="Arial"/>
                <w:b/>
                <w:szCs w:val="24"/>
              </w:rPr>
            </w:pPr>
            <w:r w:rsidRPr="00882976">
              <w:rPr>
                <w:rFonts w:cs="Arial"/>
                <w:b/>
                <w:szCs w:val="24"/>
              </w:rPr>
              <w:t>£m</w:t>
            </w:r>
          </w:p>
        </w:tc>
        <w:tc>
          <w:tcPr>
            <w:tcW w:w="1284" w:type="dxa"/>
            <w:shd w:val="clear" w:color="auto" w:fill="BFBFBF" w:themeFill="background1" w:themeFillShade="BF"/>
          </w:tcPr>
          <w:p w14:paraId="09E950FF" w14:textId="77777777" w:rsidR="00791642" w:rsidRPr="00882976" w:rsidRDefault="00791642" w:rsidP="00791642">
            <w:pPr>
              <w:pStyle w:val="NoSpacing"/>
              <w:jc w:val="center"/>
              <w:rPr>
                <w:rFonts w:cs="Arial"/>
                <w:b/>
                <w:szCs w:val="24"/>
              </w:rPr>
            </w:pPr>
            <w:r w:rsidRPr="00882976">
              <w:rPr>
                <w:rFonts w:cs="Arial"/>
                <w:b/>
                <w:szCs w:val="24"/>
              </w:rPr>
              <w:t xml:space="preserve">Total </w:t>
            </w:r>
          </w:p>
          <w:p w14:paraId="75662846" w14:textId="421C0CC3" w:rsidR="00791642" w:rsidRPr="00882976" w:rsidRDefault="00791642" w:rsidP="00791642">
            <w:pPr>
              <w:pStyle w:val="NoSpacing"/>
              <w:jc w:val="center"/>
              <w:rPr>
                <w:rFonts w:cs="Arial"/>
                <w:b/>
                <w:szCs w:val="24"/>
              </w:rPr>
            </w:pPr>
            <w:r w:rsidRPr="00882976">
              <w:rPr>
                <w:rFonts w:cs="Arial"/>
                <w:b/>
                <w:szCs w:val="24"/>
              </w:rPr>
              <w:t>£m</w:t>
            </w:r>
          </w:p>
        </w:tc>
      </w:tr>
      <w:tr w:rsidR="00791642" w:rsidRPr="00882976" w14:paraId="758E9B38" w14:textId="6B23F525" w:rsidTr="001E485A">
        <w:trPr>
          <w:trHeight w:val="552"/>
          <w:jc w:val="center"/>
        </w:trPr>
        <w:tc>
          <w:tcPr>
            <w:tcW w:w="3403" w:type="dxa"/>
            <w:vAlign w:val="center"/>
          </w:tcPr>
          <w:p w14:paraId="26BE53BD" w14:textId="6E9F537F" w:rsidR="00791642" w:rsidRPr="00882976" w:rsidRDefault="00791642" w:rsidP="007F6B26">
            <w:pPr>
              <w:pStyle w:val="NoSpacing"/>
              <w:rPr>
                <w:rFonts w:cs="Arial"/>
                <w:b/>
                <w:szCs w:val="24"/>
              </w:rPr>
            </w:pPr>
            <w:r w:rsidRPr="00882976">
              <w:rPr>
                <w:rFonts w:cs="Arial"/>
                <w:b/>
                <w:szCs w:val="24"/>
              </w:rPr>
              <w:t xml:space="preserve">Spending Gap as reported to </w:t>
            </w:r>
            <w:r w:rsidR="007F6B26" w:rsidRPr="00882976">
              <w:rPr>
                <w:rFonts w:cs="Arial"/>
                <w:b/>
                <w:szCs w:val="24"/>
              </w:rPr>
              <w:t>Cabinet September 2016</w:t>
            </w:r>
          </w:p>
          <w:p w14:paraId="48783763" w14:textId="71ECDBEF" w:rsidR="007F6B26" w:rsidRPr="00882976" w:rsidRDefault="007F6B26" w:rsidP="007F6B26">
            <w:pPr>
              <w:pStyle w:val="NoSpacing"/>
              <w:rPr>
                <w:rFonts w:cs="Arial"/>
                <w:b/>
                <w:szCs w:val="24"/>
              </w:rPr>
            </w:pPr>
          </w:p>
        </w:tc>
        <w:tc>
          <w:tcPr>
            <w:tcW w:w="1284" w:type="dxa"/>
            <w:vAlign w:val="center"/>
          </w:tcPr>
          <w:p w14:paraId="46F1B25F" w14:textId="5F482EAF" w:rsidR="00791642" w:rsidRPr="00882976" w:rsidRDefault="007F6B26" w:rsidP="00791642">
            <w:pPr>
              <w:pStyle w:val="NoSpacing"/>
              <w:jc w:val="center"/>
              <w:rPr>
                <w:rFonts w:cs="Arial"/>
                <w:szCs w:val="24"/>
              </w:rPr>
            </w:pPr>
            <w:r w:rsidRPr="00882976">
              <w:rPr>
                <w:rFonts w:cs="Arial"/>
                <w:szCs w:val="24"/>
              </w:rPr>
              <w:t>47.978</w:t>
            </w:r>
          </w:p>
        </w:tc>
        <w:tc>
          <w:tcPr>
            <w:tcW w:w="1284" w:type="dxa"/>
            <w:vAlign w:val="center"/>
          </w:tcPr>
          <w:p w14:paraId="4154C572" w14:textId="6F33E416" w:rsidR="00791642" w:rsidRPr="00882976" w:rsidRDefault="007F6B26" w:rsidP="00791642">
            <w:pPr>
              <w:pStyle w:val="NoSpacing"/>
              <w:jc w:val="center"/>
              <w:rPr>
                <w:rFonts w:cs="Arial"/>
                <w:szCs w:val="24"/>
              </w:rPr>
            </w:pPr>
            <w:r w:rsidRPr="00882976">
              <w:rPr>
                <w:rFonts w:cs="Arial"/>
                <w:szCs w:val="24"/>
              </w:rPr>
              <w:t>35.922</w:t>
            </w:r>
          </w:p>
        </w:tc>
        <w:tc>
          <w:tcPr>
            <w:tcW w:w="1284" w:type="dxa"/>
            <w:vAlign w:val="center"/>
          </w:tcPr>
          <w:p w14:paraId="6C278592" w14:textId="34C20B24" w:rsidR="00791642" w:rsidRPr="00882976" w:rsidRDefault="007F6B26" w:rsidP="00791642">
            <w:pPr>
              <w:pStyle w:val="NoSpacing"/>
              <w:jc w:val="center"/>
              <w:rPr>
                <w:rFonts w:cs="Arial"/>
                <w:szCs w:val="24"/>
              </w:rPr>
            </w:pPr>
            <w:r w:rsidRPr="00882976">
              <w:rPr>
                <w:rFonts w:cs="Arial"/>
                <w:szCs w:val="24"/>
              </w:rPr>
              <w:t>34.178</w:t>
            </w:r>
          </w:p>
        </w:tc>
        <w:tc>
          <w:tcPr>
            <w:tcW w:w="1284" w:type="dxa"/>
            <w:vAlign w:val="center"/>
          </w:tcPr>
          <w:p w14:paraId="433C261A" w14:textId="13323454" w:rsidR="00791642" w:rsidRPr="00882976" w:rsidRDefault="007F6B26" w:rsidP="00791642">
            <w:pPr>
              <w:pStyle w:val="NoSpacing"/>
              <w:jc w:val="center"/>
              <w:rPr>
                <w:rFonts w:cs="Arial"/>
                <w:szCs w:val="24"/>
              </w:rPr>
            </w:pPr>
            <w:r w:rsidRPr="00882976">
              <w:rPr>
                <w:rFonts w:cs="Arial"/>
                <w:szCs w:val="24"/>
              </w:rPr>
              <w:t>29.866</w:t>
            </w:r>
          </w:p>
        </w:tc>
        <w:tc>
          <w:tcPr>
            <w:tcW w:w="1284" w:type="dxa"/>
            <w:vAlign w:val="center"/>
          </w:tcPr>
          <w:p w14:paraId="5D80860C" w14:textId="080E429A" w:rsidR="00791642" w:rsidRPr="00882976" w:rsidRDefault="007F6B26" w:rsidP="001E485A">
            <w:pPr>
              <w:pStyle w:val="NoSpacing"/>
              <w:jc w:val="center"/>
              <w:rPr>
                <w:rFonts w:cs="Arial"/>
                <w:b/>
                <w:szCs w:val="24"/>
              </w:rPr>
            </w:pPr>
            <w:r w:rsidRPr="00882976">
              <w:rPr>
                <w:rFonts w:cs="Arial"/>
                <w:b/>
                <w:szCs w:val="24"/>
              </w:rPr>
              <w:t>147.944</w:t>
            </w:r>
          </w:p>
        </w:tc>
      </w:tr>
      <w:tr w:rsidR="00791642" w:rsidRPr="00882976" w14:paraId="7CD71161" w14:textId="26A37312" w:rsidTr="001E485A">
        <w:trPr>
          <w:trHeight w:val="552"/>
          <w:jc w:val="center"/>
        </w:trPr>
        <w:tc>
          <w:tcPr>
            <w:tcW w:w="3403" w:type="dxa"/>
            <w:shd w:val="clear" w:color="auto" w:fill="BFBFBF" w:themeFill="background1" w:themeFillShade="BF"/>
            <w:vAlign w:val="center"/>
          </w:tcPr>
          <w:p w14:paraId="7AE5A322" w14:textId="320C4923" w:rsidR="00791642" w:rsidRPr="00882976" w:rsidRDefault="00791642" w:rsidP="00791642">
            <w:pPr>
              <w:pStyle w:val="NoSpacing"/>
              <w:rPr>
                <w:rFonts w:cs="Arial"/>
                <w:szCs w:val="24"/>
              </w:rPr>
            </w:pPr>
            <w:r w:rsidRPr="00882976">
              <w:rPr>
                <w:rFonts w:cs="Arial"/>
                <w:szCs w:val="24"/>
              </w:rPr>
              <w:t>Add change to forecast of spending:</w:t>
            </w:r>
          </w:p>
        </w:tc>
        <w:tc>
          <w:tcPr>
            <w:tcW w:w="1284" w:type="dxa"/>
            <w:shd w:val="clear" w:color="auto" w:fill="BFBFBF" w:themeFill="background1" w:themeFillShade="BF"/>
            <w:vAlign w:val="center"/>
          </w:tcPr>
          <w:p w14:paraId="56B04FDA" w14:textId="19607CF2" w:rsidR="00791642" w:rsidRPr="00882976" w:rsidRDefault="00791642" w:rsidP="00791642">
            <w:pPr>
              <w:pStyle w:val="NoSpacing"/>
              <w:jc w:val="center"/>
              <w:rPr>
                <w:rFonts w:cs="Arial"/>
                <w:szCs w:val="24"/>
              </w:rPr>
            </w:pPr>
          </w:p>
        </w:tc>
        <w:tc>
          <w:tcPr>
            <w:tcW w:w="1284" w:type="dxa"/>
            <w:shd w:val="clear" w:color="auto" w:fill="BFBFBF" w:themeFill="background1" w:themeFillShade="BF"/>
            <w:vAlign w:val="center"/>
          </w:tcPr>
          <w:p w14:paraId="44F44BD1" w14:textId="7F2A6B3A" w:rsidR="00791642" w:rsidRPr="00882976" w:rsidRDefault="00791642" w:rsidP="00791642">
            <w:pPr>
              <w:pStyle w:val="NoSpacing"/>
              <w:jc w:val="center"/>
              <w:rPr>
                <w:rFonts w:cs="Arial"/>
                <w:szCs w:val="24"/>
              </w:rPr>
            </w:pPr>
          </w:p>
        </w:tc>
        <w:tc>
          <w:tcPr>
            <w:tcW w:w="1284" w:type="dxa"/>
            <w:shd w:val="clear" w:color="auto" w:fill="BFBFBF" w:themeFill="background1" w:themeFillShade="BF"/>
            <w:vAlign w:val="center"/>
          </w:tcPr>
          <w:p w14:paraId="6B0D60CC" w14:textId="71204CAD" w:rsidR="00791642" w:rsidRPr="00882976" w:rsidRDefault="00791642" w:rsidP="00791642">
            <w:pPr>
              <w:pStyle w:val="NoSpacing"/>
              <w:jc w:val="center"/>
              <w:rPr>
                <w:rFonts w:cs="Arial"/>
                <w:szCs w:val="24"/>
              </w:rPr>
            </w:pPr>
          </w:p>
        </w:tc>
        <w:tc>
          <w:tcPr>
            <w:tcW w:w="1284" w:type="dxa"/>
            <w:shd w:val="clear" w:color="auto" w:fill="BFBFBF" w:themeFill="background1" w:themeFillShade="BF"/>
            <w:vAlign w:val="center"/>
          </w:tcPr>
          <w:p w14:paraId="7B476412" w14:textId="1C5E84FB" w:rsidR="00791642" w:rsidRPr="00882976" w:rsidRDefault="00791642" w:rsidP="00791642">
            <w:pPr>
              <w:pStyle w:val="NoSpacing"/>
              <w:jc w:val="center"/>
              <w:rPr>
                <w:rFonts w:cs="Arial"/>
                <w:szCs w:val="24"/>
              </w:rPr>
            </w:pPr>
          </w:p>
        </w:tc>
        <w:tc>
          <w:tcPr>
            <w:tcW w:w="1284" w:type="dxa"/>
            <w:shd w:val="clear" w:color="auto" w:fill="BFBFBF" w:themeFill="background1" w:themeFillShade="BF"/>
            <w:vAlign w:val="center"/>
          </w:tcPr>
          <w:p w14:paraId="678244EA" w14:textId="77777777" w:rsidR="00791642" w:rsidRPr="00882976" w:rsidRDefault="00791642" w:rsidP="001E485A">
            <w:pPr>
              <w:pStyle w:val="NoSpacing"/>
              <w:jc w:val="center"/>
              <w:rPr>
                <w:rFonts w:cs="Arial"/>
                <w:b/>
                <w:szCs w:val="24"/>
              </w:rPr>
            </w:pPr>
          </w:p>
        </w:tc>
      </w:tr>
      <w:tr w:rsidR="00791642" w:rsidRPr="00882976" w14:paraId="0F8FA0E2" w14:textId="0B9ABAE0" w:rsidTr="001E485A">
        <w:trPr>
          <w:trHeight w:val="552"/>
          <w:jc w:val="center"/>
        </w:trPr>
        <w:tc>
          <w:tcPr>
            <w:tcW w:w="3403" w:type="dxa"/>
            <w:vAlign w:val="center"/>
          </w:tcPr>
          <w:p w14:paraId="61C2A667" w14:textId="32BBF31A" w:rsidR="00791642" w:rsidRPr="00882976" w:rsidRDefault="00791642" w:rsidP="00791642">
            <w:pPr>
              <w:pStyle w:val="NoSpacing"/>
              <w:rPr>
                <w:rFonts w:cs="Arial"/>
                <w:szCs w:val="24"/>
              </w:rPr>
            </w:pPr>
            <w:r w:rsidRPr="00882976">
              <w:rPr>
                <w:rFonts w:cs="Arial"/>
                <w:szCs w:val="24"/>
              </w:rPr>
              <w:t>Pay and Pensions</w:t>
            </w:r>
          </w:p>
        </w:tc>
        <w:tc>
          <w:tcPr>
            <w:tcW w:w="1284" w:type="dxa"/>
            <w:vAlign w:val="center"/>
          </w:tcPr>
          <w:p w14:paraId="0376BA7A" w14:textId="27DB4A43" w:rsidR="00791642" w:rsidRPr="00882976" w:rsidRDefault="00CB5E6D" w:rsidP="009E3967">
            <w:pPr>
              <w:pStyle w:val="NoSpacing"/>
              <w:jc w:val="center"/>
              <w:rPr>
                <w:rFonts w:cs="Arial"/>
                <w:szCs w:val="24"/>
              </w:rPr>
            </w:pPr>
            <w:r w:rsidRPr="00882976">
              <w:rPr>
                <w:rFonts w:cs="Arial"/>
                <w:szCs w:val="24"/>
              </w:rPr>
              <w:t>-</w:t>
            </w:r>
            <w:r w:rsidR="009E3967" w:rsidRPr="00882976">
              <w:rPr>
                <w:rFonts w:cs="Arial"/>
                <w:szCs w:val="24"/>
              </w:rPr>
              <w:t>0.054</w:t>
            </w:r>
          </w:p>
        </w:tc>
        <w:tc>
          <w:tcPr>
            <w:tcW w:w="1284" w:type="dxa"/>
            <w:vAlign w:val="center"/>
          </w:tcPr>
          <w:p w14:paraId="7CDC93DD" w14:textId="3B72ED79" w:rsidR="00791642" w:rsidRPr="00882976" w:rsidRDefault="009E3967" w:rsidP="00791642">
            <w:pPr>
              <w:pStyle w:val="NoSpacing"/>
              <w:jc w:val="center"/>
              <w:rPr>
                <w:rFonts w:cs="Arial"/>
                <w:szCs w:val="24"/>
              </w:rPr>
            </w:pPr>
            <w:r w:rsidRPr="00882976">
              <w:rPr>
                <w:rFonts w:cs="Arial"/>
                <w:szCs w:val="24"/>
              </w:rPr>
              <w:t>0.721</w:t>
            </w:r>
          </w:p>
        </w:tc>
        <w:tc>
          <w:tcPr>
            <w:tcW w:w="1284" w:type="dxa"/>
            <w:vAlign w:val="center"/>
          </w:tcPr>
          <w:p w14:paraId="3521724F" w14:textId="51EB89B1" w:rsidR="00791642" w:rsidRPr="00882976" w:rsidRDefault="00CB5E6D" w:rsidP="00791642">
            <w:pPr>
              <w:pStyle w:val="NoSpacing"/>
              <w:jc w:val="center"/>
              <w:rPr>
                <w:rFonts w:cs="Arial"/>
                <w:szCs w:val="24"/>
              </w:rPr>
            </w:pPr>
            <w:r w:rsidRPr="00882976">
              <w:rPr>
                <w:rFonts w:cs="Arial"/>
                <w:szCs w:val="24"/>
              </w:rPr>
              <w:t>0.886</w:t>
            </w:r>
          </w:p>
        </w:tc>
        <w:tc>
          <w:tcPr>
            <w:tcW w:w="1284" w:type="dxa"/>
            <w:vAlign w:val="center"/>
          </w:tcPr>
          <w:p w14:paraId="5F2AFF43" w14:textId="5A7DE939" w:rsidR="00791642" w:rsidRPr="00882976" w:rsidRDefault="009E3967" w:rsidP="00791642">
            <w:pPr>
              <w:pStyle w:val="NoSpacing"/>
              <w:jc w:val="center"/>
              <w:rPr>
                <w:rFonts w:cs="Arial"/>
                <w:szCs w:val="24"/>
              </w:rPr>
            </w:pPr>
            <w:r w:rsidRPr="00882976">
              <w:rPr>
                <w:rFonts w:cs="Arial"/>
                <w:szCs w:val="24"/>
              </w:rPr>
              <w:t>-0.017</w:t>
            </w:r>
          </w:p>
        </w:tc>
        <w:tc>
          <w:tcPr>
            <w:tcW w:w="1284" w:type="dxa"/>
            <w:vAlign w:val="center"/>
          </w:tcPr>
          <w:p w14:paraId="49FFCC23" w14:textId="79497E63" w:rsidR="00791642" w:rsidRPr="00882976" w:rsidRDefault="009E3967" w:rsidP="001E485A">
            <w:pPr>
              <w:pStyle w:val="NoSpacing"/>
              <w:contextualSpacing/>
              <w:jc w:val="center"/>
              <w:rPr>
                <w:rFonts w:cs="Arial"/>
                <w:b/>
                <w:szCs w:val="24"/>
              </w:rPr>
            </w:pPr>
            <w:r w:rsidRPr="00882976">
              <w:rPr>
                <w:rFonts w:cs="Arial"/>
                <w:b/>
                <w:szCs w:val="24"/>
              </w:rPr>
              <w:t>1.536</w:t>
            </w:r>
          </w:p>
        </w:tc>
      </w:tr>
      <w:tr w:rsidR="00791642" w:rsidRPr="00882976" w14:paraId="1A6010B8" w14:textId="75472D5C" w:rsidTr="001E485A">
        <w:trPr>
          <w:trHeight w:val="552"/>
          <w:jc w:val="center"/>
        </w:trPr>
        <w:tc>
          <w:tcPr>
            <w:tcW w:w="3403" w:type="dxa"/>
            <w:vAlign w:val="center"/>
          </w:tcPr>
          <w:p w14:paraId="141BB507" w14:textId="52FBFA10" w:rsidR="00791642" w:rsidRPr="00882976" w:rsidRDefault="00F10592" w:rsidP="00791642">
            <w:pPr>
              <w:pStyle w:val="NoSpacing"/>
              <w:rPr>
                <w:rFonts w:cs="Arial"/>
                <w:szCs w:val="24"/>
              </w:rPr>
            </w:pPr>
            <w:r w:rsidRPr="00882976">
              <w:rPr>
                <w:rFonts w:cs="Arial"/>
                <w:szCs w:val="24"/>
              </w:rPr>
              <w:t xml:space="preserve">Price </w:t>
            </w:r>
            <w:r w:rsidR="00791642" w:rsidRPr="00882976">
              <w:rPr>
                <w:rFonts w:cs="Arial"/>
                <w:szCs w:val="24"/>
              </w:rPr>
              <w:t>Inflation and Cost Changes</w:t>
            </w:r>
          </w:p>
        </w:tc>
        <w:tc>
          <w:tcPr>
            <w:tcW w:w="1284" w:type="dxa"/>
            <w:vAlign w:val="center"/>
          </w:tcPr>
          <w:p w14:paraId="05FC867E" w14:textId="32A4AD3A" w:rsidR="00791642" w:rsidRPr="00882976" w:rsidRDefault="00C37DF8" w:rsidP="00791642">
            <w:pPr>
              <w:pStyle w:val="NoSpacing"/>
              <w:jc w:val="center"/>
              <w:rPr>
                <w:rFonts w:cs="Arial"/>
                <w:szCs w:val="24"/>
              </w:rPr>
            </w:pPr>
            <w:r w:rsidRPr="00882976">
              <w:rPr>
                <w:rFonts w:cs="Arial"/>
                <w:szCs w:val="24"/>
              </w:rPr>
              <w:t>-0.253</w:t>
            </w:r>
          </w:p>
        </w:tc>
        <w:tc>
          <w:tcPr>
            <w:tcW w:w="1284" w:type="dxa"/>
            <w:vAlign w:val="center"/>
          </w:tcPr>
          <w:p w14:paraId="43C0450C" w14:textId="0AEBDCB4" w:rsidR="00791642" w:rsidRPr="00882976" w:rsidRDefault="00C37DF8" w:rsidP="00791642">
            <w:pPr>
              <w:pStyle w:val="NoSpacing"/>
              <w:jc w:val="center"/>
              <w:rPr>
                <w:rFonts w:cs="Arial"/>
                <w:szCs w:val="24"/>
              </w:rPr>
            </w:pPr>
            <w:r w:rsidRPr="00882976">
              <w:rPr>
                <w:rFonts w:cs="Arial"/>
                <w:szCs w:val="24"/>
              </w:rPr>
              <w:t>0.636</w:t>
            </w:r>
          </w:p>
        </w:tc>
        <w:tc>
          <w:tcPr>
            <w:tcW w:w="1284" w:type="dxa"/>
            <w:vAlign w:val="center"/>
          </w:tcPr>
          <w:p w14:paraId="4225BCD1" w14:textId="36D7B602" w:rsidR="00791642" w:rsidRPr="00882976" w:rsidRDefault="00C37DF8" w:rsidP="00791642">
            <w:pPr>
              <w:pStyle w:val="NoSpacing"/>
              <w:jc w:val="center"/>
              <w:rPr>
                <w:rFonts w:cs="Arial"/>
                <w:szCs w:val="24"/>
              </w:rPr>
            </w:pPr>
            <w:r w:rsidRPr="00882976">
              <w:rPr>
                <w:rFonts w:cs="Arial"/>
                <w:szCs w:val="24"/>
              </w:rPr>
              <w:t>0.697</w:t>
            </w:r>
          </w:p>
        </w:tc>
        <w:tc>
          <w:tcPr>
            <w:tcW w:w="1284" w:type="dxa"/>
            <w:vAlign w:val="center"/>
          </w:tcPr>
          <w:p w14:paraId="3CC98780" w14:textId="7C188E0E" w:rsidR="00791642" w:rsidRPr="00882976" w:rsidRDefault="00C37DF8" w:rsidP="00791642">
            <w:pPr>
              <w:pStyle w:val="NoSpacing"/>
              <w:jc w:val="center"/>
              <w:rPr>
                <w:rFonts w:cs="Arial"/>
                <w:szCs w:val="24"/>
              </w:rPr>
            </w:pPr>
            <w:r w:rsidRPr="00882976">
              <w:rPr>
                <w:rFonts w:cs="Arial"/>
                <w:szCs w:val="24"/>
              </w:rPr>
              <w:t>-0.526</w:t>
            </w:r>
          </w:p>
        </w:tc>
        <w:tc>
          <w:tcPr>
            <w:tcW w:w="1284" w:type="dxa"/>
            <w:vAlign w:val="center"/>
          </w:tcPr>
          <w:p w14:paraId="46A409AC" w14:textId="2BCFA504" w:rsidR="00791642" w:rsidRPr="00882976" w:rsidRDefault="00C37DF8" w:rsidP="001E485A">
            <w:pPr>
              <w:pStyle w:val="NoSpacing"/>
              <w:jc w:val="center"/>
              <w:rPr>
                <w:rFonts w:cs="Arial"/>
                <w:b/>
                <w:szCs w:val="24"/>
              </w:rPr>
            </w:pPr>
            <w:r w:rsidRPr="00882976">
              <w:rPr>
                <w:rFonts w:cs="Arial"/>
                <w:b/>
                <w:szCs w:val="24"/>
              </w:rPr>
              <w:t>0.554</w:t>
            </w:r>
          </w:p>
        </w:tc>
      </w:tr>
      <w:tr w:rsidR="00791642" w:rsidRPr="00882976" w14:paraId="61E6B67B" w14:textId="1E13F104" w:rsidTr="001E485A">
        <w:trPr>
          <w:trHeight w:val="552"/>
          <w:jc w:val="center"/>
        </w:trPr>
        <w:tc>
          <w:tcPr>
            <w:tcW w:w="3403" w:type="dxa"/>
            <w:vAlign w:val="center"/>
          </w:tcPr>
          <w:p w14:paraId="726E26CD" w14:textId="03EAB773" w:rsidR="00791642" w:rsidRPr="00882976" w:rsidRDefault="00791642" w:rsidP="00791642">
            <w:pPr>
              <w:pStyle w:val="NoSpacing"/>
              <w:rPr>
                <w:rFonts w:cs="Arial"/>
                <w:szCs w:val="24"/>
              </w:rPr>
            </w:pPr>
            <w:r w:rsidRPr="00882976">
              <w:rPr>
                <w:rFonts w:cs="Arial"/>
                <w:szCs w:val="24"/>
              </w:rPr>
              <w:t>Service Demand and Volume Pressures</w:t>
            </w:r>
          </w:p>
        </w:tc>
        <w:tc>
          <w:tcPr>
            <w:tcW w:w="1284" w:type="dxa"/>
            <w:vAlign w:val="center"/>
          </w:tcPr>
          <w:p w14:paraId="06D37D03" w14:textId="3948A10D" w:rsidR="00791642" w:rsidRPr="00882976" w:rsidRDefault="00C37DF8" w:rsidP="00791642">
            <w:pPr>
              <w:pStyle w:val="NoSpacing"/>
              <w:jc w:val="center"/>
              <w:rPr>
                <w:rFonts w:cs="Arial"/>
                <w:szCs w:val="24"/>
              </w:rPr>
            </w:pPr>
            <w:r w:rsidRPr="00882976">
              <w:rPr>
                <w:rFonts w:cs="Arial"/>
                <w:szCs w:val="24"/>
              </w:rPr>
              <w:t>7.901</w:t>
            </w:r>
          </w:p>
        </w:tc>
        <w:tc>
          <w:tcPr>
            <w:tcW w:w="1284" w:type="dxa"/>
            <w:vAlign w:val="center"/>
          </w:tcPr>
          <w:p w14:paraId="7A6F9D59" w14:textId="59C7C9D2" w:rsidR="00791642" w:rsidRPr="00882976" w:rsidRDefault="00C37DF8" w:rsidP="00791642">
            <w:pPr>
              <w:pStyle w:val="NoSpacing"/>
              <w:jc w:val="center"/>
              <w:rPr>
                <w:rFonts w:cs="Arial"/>
                <w:szCs w:val="24"/>
              </w:rPr>
            </w:pPr>
            <w:r w:rsidRPr="00882976">
              <w:rPr>
                <w:rFonts w:cs="Arial"/>
                <w:szCs w:val="24"/>
              </w:rPr>
              <w:t>-0.268</w:t>
            </w:r>
          </w:p>
        </w:tc>
        <w:tc>
          <w:tcPr>
            <w:tcW w:w="1284" w:type="dxa"/>
            <w:vAlign w:val="center"/>
          </w:tcPr>
          <w:p w14:paraId="26F4678E" w14:textId="02B8FD3E" w:rsidR="00791642" w:rsidRPr="00882976" w:rsidRDefault="00C37DF8" w:rsidP="00791642">
            <w:pPr>
              <w:pStyle w:val="NoSpacing"/>
              <w:jc w:val="center"/>
              <w:rPr>
                <w:rFonts w:cs="Arial"/>
                <w:szCs w:val="24"/>
              </w:rPr>
            </w:pPr>
            <w:r w:rsidRPr="00882976">
              <w:rPr>
                <w:rFonts w:cs="Arial"/>
                <w:szCs w:val="24"/>
              </w:rPr>
              <w:t>-0.430</w:t>
            </w:r>
          </w:p>
        </w:tc>
        <w:tc>
          <w:tcPr>
            <w:tcW w:w="1284" w:type="dxa"/>
            <w:vAlign w:val="center"/>
          </w:tcPr>
          <w:p w14:paraId="09356EC2" w14:textId="2DA9297B" w:rsidR="00791642" w:rsidRPr="00882976" w:rsidRDefault="00C37DF8" w:rsidP="00791642">
            <w:pPr>
              <w:pStyle w:val="NoSpacing"/>
              <w:jc w:val="center"/>
              <w:rPr>
                <w:rFonts w:cs="Arial"/>
                <w:szCs w:val="24"/>
              </w:rPr>
            </w:pPr>
            <w:r w:rsidRPr="00882976">
              <w:rPr>
                <w:rFonts w:cs="Arial"/>
                <w:szCs w:val="24"/>
              </w:rPr>
              <w:t>-0.088</w:t>
            </w:r>
          </w:p>
        </w:tc>
        <w:tc>
          <w:tcPr>
            <w:tcW w:w="1284" w:type="dxa"/>
            <w:vAlign w:val="center"/>
          </w:tcPr>
          <w:p w14:paraId="7E11DEA5" w14:textId="69CC32D2" w:rsidR="00791642" w:rsidRPr="00882976" w:rsidRDefault="00C37DF8" w:rsidP="0059655B">
            <w:pPr>
              <w:pStyle w:val="NoSpacing"/>
              <w:jc w:val="center"/>
              <w:rPr>
                <w:rFonts w:cs="Arial"/>
                <w:b/>
                <w:szCs w:val="24"/>
              </w:rPr>
            </w:pPr>
            <w:r w:rsidRPr="00882976">
              <w:rPr>
                <w:rFonts w:cs="Arial"/>
                <w:b/>
                <w:szCs w:val="24"/>
              </w:rPr>
              <w:t>7.115</w:t>
            </w:r>
          </w:p>
        </w:tc>
      </w:tr>
      <w:tr w:rsidR="006775BA" w:rsidRPr="00882976" w14:paraId="5A41391A" w14:textId="77777777" w:rsidTr="001E485A">
        <w:trPr>
          <w:trHeight w:val="552"/>
          <w:jc w:val="center"/>
        </w:trPr>
        <w:tc>
          <w:tcPr>
            <w:tcW w:w="3403" w:type="dxa"/>
            <w:vAlign w:val="center"/>
          </w:tcPr>
          <w:p w14:paraId="53D88D6B" w14:textId="13388ED0" w:rsidR="006775BA" w:rsidRPr="00882976" w:rsidRDefault="006775BA" w:rsidP="00E007F5">
            <w:pPr>
              <w:pStyle w:val="NoSpacing"/>
              <w:rPr>
                <w:rFonts w:cs="Arial"/>
                <w:szCs w:val="24"/>
              </w:rPr>
            </w:pPr>
            <w:r w:rsidRPr="00882976">
              <w:rPr>
                <w:rFonts w:cs="Arial"/>
                <w:szCs w:val="24"/>
              </w:rPr>
              <w:t>Other</w:t>
            </w:r>
          </w:p>
        </w:tc>
        <w:tc>
          <w:tcPr>
            <w:tcW w:w="1284" w:type="dxa"/>
            <w:vAlign w:val="center"/>
          </w:tcPr>
          <w:p w14:paraId="35B614D1" w14:textId="3BDD27A7" w:rsidR="006775BA" w:rsidRPr="00882976" w:rsidRDefault="00CB5E6D" w:rsidP="00791642">
            <w:pPr>
              <w:pStyle w:val="NoSpacing"/>
              <w:jc w:val="center"/>
              <w:rPr>
                <w:rFonts w:cs="Arial"/>
                <w:szCs w:val="24"/>
              </w:rPr>
            </w:pPr>
            <w:r w:rsidRPr="00882976">
              <w:rPr>
                <w:rFonts w:cs="Arial"/>
                <w:szCs w:val="24"/>
              </w:rPr>
              <w:t>-1.794</w:t>
            </w:r>
          </w:p>
        </w:tc>
        <w:tc>
          <w:tcPr>
            <w:tcW w:w="1284" w:type="dxa"/>
            <w:vAlign w:val="center"/>
          </w:tcPr>
          <w:p w14:paraId="254972B0" w14:textId="47D72C7C" w:rsidR="006775BA" w:rsidRPr="00882976" w:rsidRDefault="006775BA" w:rsidP="00791642">
            <w:pPr>
              <w:pStyle w:val="NoSpacing"/>
              <w:jc w:val="center"/>
              <w:rPr>
                <w:rFonts w:cs="Arial"/>
                <w:szCs w:val="24"/>
              </w:rPr>
            </w:pPr>
            <w:r w:rsidRPr="00882976">
              <w:rPr>
                <w:rFonts w:cs="Arial"/>
                <w:szCs w:val="24"/>
              </w:rPr>
              <w:t>0.309</w:t>
            </w:r>
          </w:p>
        </w:tc>
        <w:tc>
          <w:tcPr>
            <w:tcW w:w="1284" w:type="dxa"/>
            <w:vAlign w:val="center"/>
          </w:tcPr>
          <w:p w14:paraId="0DC19ED6" w14:textId="24D270E2" w:rsidR="006775BA" w:rsidRPr="00882976" w:rsidRDefault="006775BA" w:rsidP="00791642">
            <w:pPr>
              <w:pStyle w:val="NoSpacing"/>
              <w:jc w:val="center"/>
              <w:rPr>
                <w:rFonts w:cs="Arial"/>
                <w:szCs w:val="24"/>
              </w:rPr>
            </w:pPr>
            <w:r w:rsidRPr="00882976">
              <w:rPr>
                <w:rFonts w:cs="Arial"/>
                <w:szCs w:val="24"/>
              </w:rPr>
              <w:t>0.301</w:t>
            </w:r>
          </w:p>
        </w:tc>
        <w:tc>
          <w:tcPr>
            <w:tcW w:w="1284" w:type="dxa"/>
            <w:vAlign w:val="center"/>
          </w:tcPr>
          <w:p w14:paraId="57F72380" w14:textId="38414DCB" w:rsidR="006775BA" w:rsidRPr="00882976" w:rsidRDefault="006775BA" w:rsidP="00791642">
            <w:pPr>
              <w:pStyle w:val="NoSpacing"/>
              <w:jc w:val="center"/>
              <w:rPr>
                <w:rFonts w:cs="Arial"/>
                <w:szCs w:val="24"/>
              </w:rPr>
            </w:pPr>
            <w:r w:rsidRPr="00882976">
              <w:rPr>
                <w:rFonts w:cs="Arial"/>
                <w:szCs w:val="24"/>
              </w:rPr>
              <w:t>0.276</w:t>
            </w:r>
          </w:p>
        </w:tc>
        <w:tc>
          <w:tcPr>
            <w:tcW w:w="1284" w:type="dxa"/>
            <w:vAlign w:val="center"/>
          </w:tcPr>
          <w:p w14:paraId="3F19C256" w14:textId="782699A9" w:rsidR="006775BA" w:rsidRPr="00882976" w:rsidRDefault="00CB5E6D" w:rsidP="001E485A">
            <w:pPr>
              <w:pStyle w:val="NoSpacing"/>
              <w:jc w:val="center"/>
              <w:rPr>
                <w:rFonts w:cs="Arial"/>
                <w:b/>
                <w:szCs w:val="24"/>
              </w:rPr>
            </w:pPr>
            <w:r w:rsidRPr="00882976">
              <w:rPr>
                <w:rFonts w:cs="Arial"/>
                <w:b/>
                <w:szCs w:val="24"/>
              </w:rPr>
              <w:t>-0.908</w:t>
            </w:r>
          </w:p>
        </w:tc>
      </w:tr>
      <w:tr w:rsidR="00791642" w:rsidRPr="00882976" w14:paraId="133F1685" w14:textId="77777777" w:rsidTr="001E485A">
        <w:trPr>
          <w:trHeight w:val="552"/>
          <w:jc w:val="center"/>
        </w:trPr>
        <w:tc>
          <w:tcPr>
            <w:tcW w:w="3403" w:type="dxa"/>
            <w:vAlign w:val="center"/>
          </w:tcPr>
          <w:p w14:paraId="769218B0" w14:textId="0142348C" w:rsidR="00791642" w:rsidRPr="00882976" w:rsidRDefault="006775BA" w:rsidP="00E007F5">
            <w:pPr>
              <w:pStyle w:val="NoSpacing"/>
              <w:rPr>
                <w:rFonts w:cs="Arial"/>
                <w:szCs w:val="24"/>
              </w:rPr>
            </w:pPr>
            <w:r w:rsidRPr="00882976">
              <w:rPr>
                <w:rFonts w:cs="Arial"/>
                <w:szCs w:val="24"/>
              </w:rPr>
              <w:t>Undeliverable Savings</w:t>
            </w:r>
          </w:p>
        </w:tc>
        <w:tc>
          <w:tcPr>
            <w:tcW w:w="1284" w:type="dxa"/>
            <w:vAlign w:val="center"/>
          </w:tcPr>
          <w:p w14:paraId="5DCA010F" w14:textId="2AF74D74" w:rsidR="00791642" w:rsidRPr="00882976" w:rsidRDefault="006775BA" w:rsidP="00791642">
            <w:pPr>
              <w:pStyle w:val="NoSpacing"/>
              <w:jc w:val="center"/>
              <w:rPr>
                <w:rFonts w:cs="Arial"/>
                <w:szCs w:val="24"/>
              </w:rPr>
            </w:pPr>
            <w:r w:rsidRPr="00882976">
              <w:rPr>
                <w:rFonts w:cs="Arial"/>
                <w:szCs w:val="24"/>
              </w:rPr>
              <w:t>2.211</w:t>
            </w:r>
          </w:p>
        </w:tc>
        <w:tc>
          <w:tcPr>
            <w:tcW w:w="1284" w:type="dxa"/>
            <w:vAlign w:val="center"/>
          </w:tcPr>
          <w:p w14:paraId="299796A9" w14:textId="3395A2A2" w:rsidR="00791642" w:rsidRPr="00882976" w:rsidRDefault="006775BA" w:rsidP="00791642">
            <w:pPr>
              <w:pStyle w:val="NoSpacing"/>
              <w:jc w:val="center"/>
              <w:rPr>
                <w:rFonts w:cs="Arial"/>
                <w:szCs w:val="24"/>
              </w:rPr>
            </w:pPr>
            <w:r w:rsidRPr="00882976">
              <w:rPr>
                <w:rFonts w:cs="Arial"/>
                <w:szCs w:val="24"/>
              </w:rPr>
              <w:t>0.000</w:t>
            </w:r>
          </w:p>
        </w:tc>
        <w:tc>
          <w:tcPr>
            <w:tcW w:w="1284" w:type="dxa"/>
            <w:vAlign w:val="center"/>
          </w:tcPr>
          <w:p w14:paraId="377B8EB0" w14:textId="520423C4" w:rsidR="00791642" w:rsidRPr="00882976" w:rsidRDefault="006775BA" w:rsidP="00791642">
            <w:pPr>
              <w:pStyle w:val="NoSpacing"/>
              <w:jc w:val="center"/>
              <w:rPr>
                <w:rFonts w:cs="Arial"/>
                <w:szCs w:val="24"/>
              </w:rPr>
            </w:pPr>
            <w:r w:rsidRPr="00882976">
              <w:rPr>
                <w:rFonts w:cs="Arial"/>
                <w:szCs w:val="24"/>
              </w:rPr>
              <w:t>0.000</w:t>
            </w:r>
          </w:p>
        </w:tc>
        <w:tc>
          <w:tcPr>
            <w:tcW w:w="1284" w:type="dxa"/>
            <w:vAlign w:val="center"/>
          </w:tcPr>
          <w:p w14:paraId="1A1DBFBF" w14:textId="4CFA72CA" w:rsidR="00791642" w:rsidRPr="00882976" w:rsidRDefault="006775BA" w:rsidP="00791642">
            <w:pPr>
              <w:pStyle w:val="NoSpacing"/>
              <w:jc w:val="center"/>
              <w:rPr>
                <w:rFonts w:cs="Arial"/>
                <w:szCs w:val="24"/>
              </w:rPr>
            </w:pPr>
            <w:r w:rsidRPr="00882976">
              <w:rPr>
                <w:rFonts w:cs="Arial"/>
                <w:szCs w:val="24"/>
              </w:rPr>
              <w:t>0.000</w:t>
            </w:r>
          </w:p>
        </w:tc>
        <w:tc>
          <w:tcPr>
            <w:tcW w:w="1284" w:type="dxa"/>
            <w:vAlign w:val="center"/>
          </w:tcPr>
          <w:p w14:paraId="0251B2A5" w14:textId="4D9AA317" w:rsidR="00791642" w:rsidRPr="00882976" w:rsidRDefault="00391A51" w:rsidP="001E485A">
            <w:pPr>
              <w:pStyle w:val="NoSpacing"/>
              <w:jc w:val="center"/>
              <w:rPr>
                <w:rFonts w:cs="Arial"/>
                <w:b/>
                <w:szCs w:val="24"/>
              </w:rPr>
            </w:pPr>
            <w:r w:rsidRPr="00882976">
              <w:rPr>
                <w:rFonts w:cs="Arial"/>
                <w:b/>
                <w:szCs w:val="24"/>
              </w:rPr>
              <w:t>2.211</w:t>
            </w:r>
          </w:p>
        </w:tc>
      </w:tr>
      <w:tr w:rsidR="006775BA" w:rsidRPr="00882976" w14:paraId="7EB43828" w14:textId="77777777" w:rsidTr="001E485A">
        <w:trPr>
          <w:trHeight w:val="552"/>
          <w:jc w:val="center"/>
        </w:trPr>
        <w:tc>
          <w:tcPr>
            <w:tcW w:w="3403" w:type="dxa"/>
            <w:vAlign w:val="center"/>
          </w:tcPr>
          <w:p w14:paraId="08591001" w14:textId="67556F4B" w:rsidR="006775BA" w:rsidRPr="00882976" w:rsidRDefault="006775BA" w:rsidP="006775BA">
            <w:pPr>
              <w:pStyle w:val="NoSpacing"/>
              <w:rPr>
                <w:rFonts w:cs="Arial"/>
                <w:szCs w:val="24"/>
              </w:rPr>
            </w:pPr>
            <w:r w:rsidRPr="00882976">
              <w:rPr>
                <w:rFonts w:cs="Arial"/>
                <w:szCs w:val="24"/>
              </w:rPr>
              <w:t xml:space="preserve">Re-profiled Savings </w:t>
            </w:r>
          </w:p>
        </w:tc>
        <w:tc>
          <w:tcPr>
            <w:tcW w:w="1284" w:type="dxa"/>
            <w:vAlign w:val="center"/>
          </w:tcPr>
          <w:p w14:paraId="5BC7A425" w14:textId="3F1291EA" w:rsidR="006775BA" w:rsidRPr="00882976" w:rsidRDefault="006775BA" w:rsidP="00791642">
            <w:pPr>
              <w:pStyle w:val="NoSpacing"/>
              <w:jc w:val="center"/>
              <w:rPr>
                <w:rFonts w:cs="Arial"/>
                <w:szCs w:val="24"/>
              </w:rPr>
            </w:pPr>
            <w:r w:rsidRPr="00882976">
              <w:rPr>
                <w:rFonts w:cs="Arial"/>
                <w:szCs w:val="24"/>
              </w:rPr>
              <w:t>12.479</w:t>
            </w:r>
          </w:p>
        </w:tc>
        <w:tc>
          <w:tcPr>
            <w:tcW w:w="1284" w:type="dxa"/>
            <w:vAlign w:val="center"/>
          </w:tcPr>
          <w:p w14:paraId="14F0F89C" w14:textId="46749261" w:rsidR="006775BA" w:rsidRPr="00882976" w:rsidRDefault="006775BA" w:rsidP="00791642">
            <w:pPr>
              <w:pStyle w:val="NoSpacing"/>
              <w:jc w:val="center"/>
              <w:rPr>
                <w:rFonts w:cs="Arial"/>
                <w:szCs w:val="24"/>
              </w:rPr>
            </w:pPr>
            <w:r w:rsidRPr="00882976">
              <w:rPr>
                <w:rFonts w:cs="Arial"/>
                <w:szCs w:val="24"/>
              </w:rPr>
              <w:t>-9.022</w:t>
            </w:r>
          </w:p>
        </w:tc>
        <w:tc>
          <w:tcPr>
            <w:tcW w:w="1284" w:type="dxa"/>
            <w:vAlign w:val="center"/>
          </w:tcPr>
          <w:p w14:paraId="7B7E31FD" w14:textId="01205AF3" w:rsidR="006775BA" w:rsidRPr="00882976" w:rsidRDefault="006775BA" w:rsidP="00791642">
            <w:pPr>
              <w:pStyle w:val="NoSpacing"/>
              <w:jc w:val="center"/>
              <w:rPr>
                <w:rFonts w:cs="Arial"/>
                <w:szCs w:val="24"/>
              </w:rPr>
            </w:pPr>
            <w:r w:rsidRPr="00882976">
              <w:rPr>
                <w:rFonts w:cs="Arial"/>
                <w:szCs w:val="24"/>
              </w:rPr>
              <w:t>-3.400</w:t>
            </w:r>
          </w:p>
        </w:tc>
        <w:tc>
          <w:tcPr>
            <w:tcW w:w="1284" w:type="dxa"/>
            <w:vAlign w:val="center"/>
          </w:tcPr>
          <w:p w14:paraId="3350B564" w14:textId="514DC93C" w:rsidR="006775BA" w:rsidRPr="00882976" w:rsidRDefault="006775BA" w:rsidP="00791642">
            <w:pPr>
              <w:pStyle w:val="NoSpacing"/>
              <w:jc w:val="center"/>
              <w:rPr>
                <w:rFonts w:cs="Arial"/>
                <w:szCs w:val="24"/>
              </w:rPr>
            </w:pPr>
            <w:r w:rsidRPr="00882976">
              <w:rPr>
                <w:rFonts w:cs="Arial"/>
                <w:szCs w:val="24"/>
              </w:rPr>
              <w:t>-0.057</w:t>
            </w:r>
          </w:p>
        </w:tc>
        <w:tc>
          <w:tcPr>
            <w:tcW w:w="1284" w:type="dxa"/>
            <w:vAlign w:val="center"/>
          </w:tcPr>
          <w:p w14:paraId="3A4B882F" w14:textId="302DDC0A" w:rsidR="006775BA" w:rsidRPr="00882976" w:rsidRDefault="006775BA" w:rsidP="001E485A">
            <w:pPr>
              <w:pStyle w:val="NoSpacing"/>
              <w:jc w:val="center"/>
              <w:rPr>
                <w:rFonts w:cs="Arial"/>
                <w:b/>
                <w:szCs w:val="24"/>
              </w:rPr>
            </w:pPr>
            <w:r w:rsidRPr="00882976">
              <w:rPr>
                <w:rFonts w:cs="Arial"/>
                <w:b/>
                <w:szCs w:val="24"/>
              </w:rPr>
              <w:t>0.000</w:t>
            </w:r>
          </w:p>
        </w:tc>
      </w:tr>
      <w:tr w:rsidR="00791642" w:rsidRPr="00882976" w14:paraId="0BF6461B" w14:textId="77777777" w:rsidTr="001E485A">
        <w:trPr>
          <w:trHeight w:val="552"/>
          <w:jc w:val="center"/>
        </w:trPr>
        <w:tc>
          <w:tcPr>
            <w:tcW w:w="3403" w:type="dxa"/>
            <w:vAlign w:val="center"/>
          </w:tcPr>
          <w:p w14:paraId="481CCCB2" w14:textId="0045F663" w:rsidR="00791642" w:rsidRPr="00882976" w:rsidRDefault="007F6B26" w:rsidP="00791642">
            <w:pPr>
              <w:pStyle w:val="NoSpacing"/>
              <w:rPr>
                <w:rFonts w:cs="Arial"/>
                <w:szCs w:val="24"/>
              </w:rPr>
            </w:pPr>
            <w:r w:rsidRPr="00882976">
              <w:rPr>
                <w:rFonts w:cs="Arial"/>
                <w:szCs w:val="24"/>
              </w:rPr>
              <w:t xml:space="preserve">Additional Savings </w:t>
            </w:r>
          </w:p>
        </w:tc>
        <w:tc>
          <w:tcPr>
            <w:tcW w:w="1284" w:type="dxa"/>
            <w:vAlign w:val="center"/>
          </w:tcPr>
          <w:p w14:paraId="13E5ADE5" w14:textId="23BC31E2" w:rsidR="00791642" w:rsidRPr="00882976" w:rsidRDefault="00CB5E6D" w:rsidP="00791642">
            <w:pPr>
              <w:pStyle w:val="NoSpacing"/>
              <w:jc w:val="center"/>
              <w:rPr>
                <w:rFonts w:cs="Arial"/>
                <w:szCs w:val="24"/>
              </w:rPr>
            </w:pPr>
            <w:r w:rsidRPr="00882976">
              <w:rPr>
                <w:rFonts w:cs="Arial"/>
                <w:szCs w:val="24"/>
              </w:rPr>
              <w:t>-8.120</w:t>
            </w:r>
          </w:p>
        </w:tc>
        <w:tc>
          <w:tcPr>
            <w:tcW w:w="1284" w:type="dxa"/>
            <w:vAlign w:val="center"/>
          </w:tcPr>
          <w:p w14:paraId="6D4CECE0" w14:textId="72D3A1D0" w:rsidR="00791642" w:rsidRPr="00882976" w:rsidRDefault="00CB5E6D" w:rsidP="00791642">
            <w:pPr>
              <w:pStyle w:val="NoSpacing"/>
              <w:jc w:val="center"/>
              <w:rPr>
                <w:rFonts w:cs="Arial"/>
                <w:szCs w:val="24"/>
              </w:rPr>
            </w:pPr>
            <w:r w:rsidRPr="00882976">
              <w:rPr>
                <w:rFonts w:cs="Arial"/>
                <w:szCs w:val="24"/>
              </w:rPr>
              <w:t>-1.800</w:t>
            </w:r>
          </w:p>
        </w:tc>
        <w:tc>
          <w:tcPr>
            <w:tcW w:w="1284" w:type="dxa"/>
            <w:vAlign w:val="center"/>
          </w:tcPr>
          <w:p w14:paraId="3B28408A" w14:textId="0BD2E307" w:rsidR="00791642" w:rsidRPr="00882976" w:rsidRDefault="00391A51" w:rsidP="00791642">
            <w:pPr>
              <w:pStyle w:val="NoSpacing"/>
              <w:jc w:val="center"/>
              <w:rPr>
                <w:rFonts w:cs="Arial"/>
                <w:szCs w:val="24"/>
              </w:rPr>
            </w:pPr>
            <w:r w:rsidRPr="00882976">
              <w:rPr>
                <w:rFonts w:cs="Arial"/>
                <w:szCs w:val="24"/>
              </w:rPr>
              <w:t>-1.200</w:t>
            </w:r>
          </w:p>
        </w:tc>
        <w:tc>
          <w:tcPr>
            <w:tcW w:w="1284" w:type="dxa"/>
            <w:vAlign w:val="center"/>
          </w:tcPr>
          <w:p w14:paraId="1240CF05" w14:textId="345C2BC8" w:rsidR="00791642" w:rsidRPr="00882976" w:rsidRDefault="00391A51" w:rsidP="00791642">
            <w:pPr>
              <w:pStyle w:val="NoSpacing"/>
              <w:jc w:val="center"/>
              <w:rPr>
                <w:rFonts w:cs="Arial"/>
                <w:szCs w:val="24"/>
              </w:rPr>
            </w:pPr>
            <w:r w:rsidRPr="00882976">
              <w:rPr>
                <w:rFonts w:cs="Arial"/>
                <w:szCs w:val="24"/>
              </w:rPr>
              <w:t>-1.200</w:t>
            </w:r>
          </w:p>
        </w:tc>
        <w:tc>
          <w:tcPr>
            <w:tcW w:w="1284" w:type="dxa"/>
            <w:vAlign w:val="center"/>
          </w:tcPr>
          <w:p w14:paraId="5B52A0F9" w14:textId="0D817A3F" w:rsidR="00791642" w:rsidRPr="00882976" w:rsidRDefault="00CB5E6D" w:rsidP="001E485A">
            <w:pPr>
              <w:pStyle w:val="NoSpacing"/>
              <w:jc w:val="center"/>
              <w:rPr>
                <w:rFonts w:cs="Arial"/>
                <w:b/>
                <w:szCs w:val="24"/>
              </w:rPr>
            </w:pPr>
            <w:r w:rsidRPr="00882976">
              <w:rPr>
                <w:rFonts w:cs="Arial"/>
                <w:b/>
                <w:szCs w:val="24"/>
              </w:rPr>
              <w:t>-12.320</w:t>
            </w:r>
          </w:p>
        </w:tc>
      </w:tr>
      <w:tr w:rsidR="00791642" w:rsidRPr="00882976" w14:paraId="7187687D" w14:textId="77777777" w:rsidTr="001E485A">
        <w:trPr>
          <w:trHeight w:val="552"/>
          <w:jc w:val="center"/>
        </w:trPr>
        <w:tc>
          <w:tcPr>
            <w:tcW w:w="3403" w:type="dxa"/>
            <w:shd w:val="clear" w:color="auto" w:fill="BFBFBF" w:themeFill="background1" w:themeFillShade="BF"/>
            <w:vAlign w:val="center"/>
          </w:tcPr>
          <w:p w14:paraId="12521D50" w14:textId="3FC930C1" w:rsidR="00791642" w:rsidRPr="00882976" w:rsidRDefault="00791642" w:rsidP="00791642">
            <w:pPr>
              <w:pStyle w:val="NoSpacing"/>
              <w:rPr>
                <w:rFonts w:cs="Arial"/>
                <w:b/>
                <w:szCs w:val="24"/>
              </w:rPr>
            </w:pPr>
            <w:r w:rsidRPr="00882976">
              <w:rPr>
                <w:rFonts w:cs="Arial"/>
                <w:b/>
                <w:szCs w:val="24"/>
              </w:rPr>
              <w:t>Total change to forecast of spending</w:t>
            </w:r>
          </w:p>
        </w:tc>
        <w:tc>
          <w:tcPr>
            <w:tcW w:w="1284" w:type="dxa"/>
            <w:shd w:val="clear" w:color="auto" w:fill="BFBFBF" w:themeFill="background1" w:themeFillShade="BF"/>
            <w:vAlign w:val="center"/>
          </w:tcPr>
          <w:p w14:paraId="733B48F8" w14:textId="53B89102" w:rsidR="00791642" w:rsidRPr="00882976" w:rsidRDefault="009D4688" w:rsidP="006957EF">
            <w:pPr>
              <w:pStyle w:val="NoSpacing"/>
              <w:jc w:val="center"/>
              <w:rPr>
                <w:rFonts w:cs="Arial"/>
                <w:b/>
                <w:szCs w:val="24"/>
              </w:rPr>
            </w:pPr>
            <w:r>
              <w:rPr>
                <w:rFonts w:cs="Arial"/>
                <w:b/>
                <w:szCs w:val="24"/>
              </w:rPr>
              <w:t>12.372</w:t>
            </w:r>
          </w:p>
        </w:tc>
        <w:tc>
          <w:tcPr>
            <w:tcW w:w="1284" w:type="dxa"/>
            <w:shd w:val="clear" w:color="auto" w:fill="BFBFBF" w:themeFill="background1" w:themeFillShade="BF"/>
            <w:vAlign w:val="center"/>
          </w:tcPr>
          <w:p w14:paraId="446B5A2A" w14:textId="0329B3A9" w:rsidR="00791642" w:rsidRPr="00882976" w:rsidRDefault="009E3967" w:rsidP="00791642">
            <w:pPr>
              <w:pStyle w:val="NoSpacing"/>
              <w:jc w:val="center"/>
              <w:rPr>
                <w:rFonts w:cs="Arial"/>
                <w:b/>
                <w:szCs w:val="24"/>
              </w:rPr>
            </w:pPr>
            <w:r w:rsidRPr="00882976">
              <w:rPr>
                <w:rFonts w:cs="Arial"/>
                <w:b/>
                <w:szCs w:val="24"/>
              </w:rPr>
              <w:t>-9.425</w:t>
            </w:r>
          </w:p>
        </w:tc>
        <w:tc>
          <w:tcPr>
            <w:tcW w:w="1284" w:type="dxa"/>
            <w:shd w:val="clear" w:color="auto" w:fill="BFBFBF" w:themeFill="background1" w:themeFillShade="BF"/>
            <w:vAlign w:val="center"/>
          </w:tcPr>
          <w:p w14:paraId="656ED1B3" w14:textId="25065457" w:rsidR="00791642" w:rsidRPr="00882976" w:rsidRDefault="00CB5E6D" w:rsidP="00791642">
            <w:pPr>
              <w:pStyle w:val="NoSpacing"/>
              <w:jc w:val="center"/>
              <w:rPr>
                <w:rFonts w:cs="Arial"/>
                <w:b/>
                <w:szCs w:val="24"/>
              </w:rPr>
            </w:pPr>
            <w:r w:rsidRPr="00882976">
              <w:rPr>
                <w:rFonts w:cs="Arial"/>
                <w:b/>
                <w:szCs w:val="24"/>
              </w:rPr>
              <w:t>-3.146</w:t>
            </w:r>
          </w:p>
        </w:tc>
        <w:tc>
          <w:tcPr>
            <w:tcW w:w="1284" w:type="dxa"/>
            <w:shd w:val="clear" w:color="auto" w:fill="BFBFBF" w:themeFill="background1" w:themeFillShade="BF"/>
            <w:vAlign w:val="center"/>
          </w:tcPr>
          <w:p w14:paraId="676FB510" w14:textId="7130F9E1" w:rsidR="00791642" w:rsidRPr="00882976" w:rsidRDefault="009E3967" w:rsidP="00791642">
            <w:pPr>
              <w:pStyle w:val="NoSpacing"/>
              <w:jc w:val="center"/>
              <w:rPr>
                <w:rFonts w:cs="Arial"/>
                <w:b/>
                <w:szCs w:val="24"/>
              </w:rPr>
            </w:pPr>
            <w:r w:rsidRPr="00882976">
              <w:rPr>
                <w:rFonts w:cs="Arial"/>
                <w:b/>
                <w:szCs w:val="24"/>
              </w:rPr>
              <w:t>-1.612</w:t>
            </w:r>
          </w:p>
        </w:tc>
        <w:tc>
          <w:tcPr>
            <w:tcW w:w="1284" w:type="dxa"/>
            <w:shd w:val="clear" w:color="auto" w:fill="BFBFBF" w:themeFill="background1" w:themeFillShade="BF"/>
            <w:vAlign w:val="center"/>
          </w:tcPr>
          <w:p w14:paraId="43821C60" w14:textId="35B08CEC" w:rsidR="00791642" w:rsidRPr="00882976" w:rsidRDefault="009E3967" w:rsidP="001E485A">
            <w:pPr>
              <w:pStyle w:val="NoSpacing"/>
              <w:jc w:val="center"/>
              <w:rPr>
                <w:rFonts w:cs="Arial"/>
                <w:b/>
                <w:szCs w:val="24"/>
              </w:rPr>
            </w:pPr>
            <w:r w:rsidRPr="00882976">
              <w:rPr>
                <w:rFonts w:cs="Arial"/>
                <w:b/>
                <w:szCs w:val="24"/>
              </w:rPr>
              <w:t>-1.811</w:t>
            </w:r>
          </w:p>
        </w:tc>
      </w:tr>
      <w:tr w:rsidR="00791642" w:rsidRPr="00882976" w14:paraId="6E9E4B4A" w14:textId="77777777" w:rsidTr="001E485A">
        <w:trPr>
          <w:trHeight w:val="290"/>
          <w:jc w:val="center"/>
        </w:trPr>
        <w:tc>
          <w:tcPr>
            <w:tcW w:w="3403" w:type="dxa"/>
            <w:shd w:val="clear" w:color="auto" w:fill="auto"/>
            <w:vAlign w:val="center"/>
          </w:tcPr>
          <w:p w14:paraId="522AD46A" w14:textId="77777777" w:rsidR="00791642" w:rsidRPr="00882976" w:rsidRDefault="00791642" w:rsidP="00791642">
            <w:pPr>
              <w:pStyle w:val="NoSpacing"/>
              <w:rPr>
                <w:rFonts w:cs="Arial"/>
                <w:b/>
                <w:szCs w:val="24"/>
              </w:rPr>
            </w:pPr>
          </w:p>
        </w:tc>
        <w:tc>
          <w:tcPr>
            <w:tcW w:w="1284" w:type="dxa"/>
            <w:shd w:val="clear" w:color="auto" w:fill="auto"/>
            <w:vAlign w:val="center"/>
          </w:tcPr>
          <w:p w14:paraId="5023DA1F" w14:textId="77777777" w:rsidR="00791642" w:rsidRPr="00882976" w:rsidRDefault="00791642" w:rsidP="00791642">
            <w:pPr>
              <w:pStyle w:val="NoSpacing"/>
              <w:jc w:val="center"/>
              <w:rPr>
                <w:rFonts w:cs="Arial"/>
                <w:szCs w:val="24"/>
              </w:rPr>
            </w:pPr>
          </w:p>
        </w:tc>
        <w:tc>
          <w:tcPr>
            <w:tcW w:w="1284" w:type="dxa"/>
            <w:shd w:val="clear" w:color="auto" w:fill="auto"/>
            <w:vAlign w:val="center"/>
          </w:tcPr>
          <w:p w14:paraId="0A73BB85" w14:textId="77777777" w:rsidR="00791642" w:rsidRPr="00882976" w:rsidRDefault="00791642" w:rsidP="00791642">
            <w:pPr>
              <w:pStyle w:val="NoSpacing"/>
              <w:jc w:val="center"/>
              <w:rPr>
                <w:rFonts w:cs="Arial"/>
                <w:szCs w:val="24"/>
              </w:rPr>
            </w:pPr>
          </w:p>
        </w:tc>
        <w:tc>
          <w:tcPr>
            <w:tcW w:w="1284" w:type="dxa"/>
            <w:shd w:val="clear" w:color="auto" w:fill="auto"/>
            <w:vAlign w:val="center"/>
          </w:tcPr>
          <w:p w14:paraId="14ED9225" w14:textId="77777777" w:rsidR="00791642" w:rsidRPr="00882976" w:rsidRDefault="00791642" w:rsidP="00791642">
            <w:pPr>
              <w:pStyle w:val="NoSpacing"/>
              <w:jc w:val="center"/>
              <w:rPr>
                <w:rFonts w:cs="Arial"/>
                <w:szCs w:val="24"/>
              </w:rPr>
            </w:pPr>
          </w:p>
        </w:tc>
        <w:tc>
          <w:tcPr>
            <w:tcW w:w="1284" w:type="dxa"/>
            <w:shd w:val="clear" w:color="auto" w:fill="auto"/>
            <w:vAlign w:val="center"/>
          </w:tcPr>
          <w:p w14:paraId="790C4B16" w14:textId="77777777" w:rsidR="00791642" w:rsidRPr="00882976" w:rsidRDefault="00791642" w:rsidP="00791642">
            <w:pPr>
              <w:pStyle w:val="NoSpacing"/>
              <w:jc w:val="center"/>
              <w:rPr>
                <w:rFonts w:cs="Arial"/>
                <w:szCs w:val="24"/>
              </w:rPr>
            </w:pPr>
          </w:p>
        </w:tc>
        <w:tc>
          <w:tcPr>
            <w:tcW w:w="1284" w:type="dxa"/>
            <w:shd w:val="clear" w:color="auto" w:fill="auto"/>
            <w:vAlign w:val="center"/>
          </w:tcPr>
          <w:p w14:paraId="67A98D4A" w14:textId="77777777" w:rsidR="00791642" w:rsidRPr="00882976" w:rsidRDefault="00791642" w:rsidP="001E485A">
            <w:pPr>
              <w:pStyle w:val="NoSpacing"/>
              <w:jc w:val="center"/>
              <w:rPr>
                <w:rFonts w:cs="Arial"/>
                <w:b/>
                <w:szCs w:val="24"/>
              </w:rPr>
            </w:pPr>
          </w:p>
        </w:tc>
      </w:tr>
      <w:tr w:rsidR="00791642" w:rsidRPr="00882976" w14:paraId="452F9361" w14:textId="77777777" w:rsidTr="001E485A">
        <w:trPr>
          <w:trHeight w:val="552"/>
          <w:jc w:val="center"/>
        </w:trPr>
        <w:tc>
          <w:tcPr>
            <w:tcW w:w="3403" w:type="dxa"/>
            <w:shd w:val="clear" w:color="auto" w:fill="auto"/>
            <w:vAlign w:val="center"/>
          </w:tcPr>
          <w:p w14:paraId="5D25191F" w14:textId="7AB827C3" w:rsidR="00791642" w:rsidRPr="00882976" w:rsidRDefault="00791642" w:rsidP="00791642">
            <w:pPr>
              <w:pStyle w:val="NoSpacing"/>
              <w:rPr>
                <w:rFonts w:cs="Arial"/>
                <w:szCs w:val="24"/>
              </w:rPr>
            </w:pPr>
            <w:r w:rsidRPr="00882976">
              <w:rPr>
                <w:rFonts w:cs="Arial"/>
                <w:szCs w:val="24"/>
              </w:rPr>
              <w:t>Funding</w:t>
            </w:r>
          </w:p>
        </w:tc>
        <w:tc>
          <w:tcPr>
            <w:tcW w:w="1284" w:type="dxa"/>
            <w:shd w:val="clear" w:color="auto" w:fill="auto"/>
            <w:vAlign w:val="center"/>
          </w:tcPr>
          <w:p w14:paraId="7341966C" w14:textId="7D85EBB7" w:rsidR="00391A51" w:rsidRPr="00882976" w:rsidRDefault="00391A51" w:rsidP="00391A51">
            <w:pPr>
              <w:pStyle w:val="NoSpacing"/>
              <w:jc w:val="center"/>
              <w:rPr>
                <w:rFonts w:cs="Arial"/>
                <w:szCs w:val="24"/>
              </w:rPr>
            </w:pPr>
            <w:r w:rsidRPr="00882976">
              <w:rPr>
                <w:rFonts w:cs="Arial"/>
                <w:szCs w:val="24"/>
              </w:rPr>
              <w:t>0.000</w:t>
            </w:r>
          </w:p>
        </w:tc>
        <w:tc>
          <w:tcPr>
            <w:tcW w:w="1284" w:type="dxa"/>
            <w:shd w:val="clear" w:color="auto" w:fill="auto"/>
            <w:vAlign w:val="center"/>
          </w:tcPr>
          <w:p w14:paraId="3634971C" w14:textId="15B0C338" w:rsidR="00791642" w:rsidRPr="00882976" w:rsidRDefault="00391A51" w:rsidP="00791642">
            <w:pPr>
              <w:pStyle w:val="NoSpacing"/>
              <w:jc w:val="center"/>
              <w:rPr>
                <w:rFonts w:cs="Arial"/>
                <w:szCs w:val="24"/>
              </w:rPr>
            </w:pPr>
            <w:r w:rsidRPr="00882976">
              <w:rPr>
                <w:rFonts w:cs="Arial"/>
                <w:szCs w:val="24"/>
              </w:rPr>
              <w:t>0.000</w:t>
            </w:r>
          </w:p>
        </w:tc>
        <w:tc>
          <w:tcPr>
            <w:tcW w:w="1284" w:type="dxa"/>
            <w:shd w:val="clear" w:color="auto" w:fill="auto"/>
            <w:vAlign w:val="center"/>
          </w:tcPr>
          <w:p w14:paraId="1A95D9FA" w14:textId="393DF903" w:rsidR="00791642" w:rsidRPr="00882976" w:rsidRDefault="00391A51" w:rsidP="00791642">
            <w:pPr>
              <w:pStyle w:val="NoSpacing"/>
              <w:jc w:val="center"/>
              <w:rPr>
                <w:rFonts w:cs="Arial"/>
                <w:szCs w:val="24"/>
              </w:rPr>
            </w:pPr>
            <w:r w:rsidRPr="00882976">
              <w:rPr>
                <w:rFonts w:cs="Arial"/>
                <w:szCs w:val="24"/>
              </w:rPr>
              <w:t>0.000</w:t>
            </w:r>
          </w:p>
        </w:tc>
        <w:tc>
          <w:tcPr>
            <w:tcW w:w="1284" w:type="dxa"/>
            <w:shd w:val="clear" w:color="auto" w:fill="auto"/>
            <w:vAlign w:val="center"/>
          </w:tcPr>
          <w:p w14:paraId="01D80645" w14:textId="1986AE60" w:rsidR="00791642" w:rsidRPr="00882976" w:rsidRDefault="00391A51" w:rsidP="00791642">
            <w:pPr>
              <w:pStyle w:val="NoSpacing"/>
              <w:jc w:val="center"/>
              <w:rPr>
                <w:rFonts w:cs="Arial"/>
                <w:szCs w:val="24"/>
              </w:rPr>
            </w:pPr>
            <w:r w:rsidRPr="00882976">
              <w:rPr>
                <w:rFonts w:cs="Arial"/>
                <w:szCs w:val="24"/>
              </w:rPr>
              <w:t>0.000</w:t>
            </w:r>
          </w:p>
        </w:tc>
        <w:tc>
          <w:tcPr>
            <w:tcW w:w="1284" w:type="dxa"/>
            <w:shd w:val="clear" w:color="auto" w:fill="auto"/>
            <w:vAlign w:val="center"/>
          </w:tcPr>
          <w:p w14:paraId="57752C41" w14:textId="5EDC5AE3" w:rsidR="00791642" w:rsidRPr="00882976" w:rsidRDefault="00391A51" w:rsidP="00975679">
            <w:pPr>
              <w:pStyle w:val="NoSpacing"/>
              <w:jc w:val="center"/>
              <w:rPr>
                <w:rFonts w:cs="Arial"/>
                <w:b/>
                <w:szCs w:val="24"/>
              </w:rPr>
            </w:pPr>
            <w:r w:rsidRPr="00882976">
              <w:rPr>
                <w:rFonts w:cs="Arial"/>
                <w:b/>
                <w:szCs w:val="24"/>
              </w:rPr>
              <w:t>0.000</w:t>
            </w:r>
          </w:p>
        </w:tc>
      </w:tr>
      <w:tr w:rsidR="00791642" w:rsidRPr="00882976" w14:paraId="4CD5A984" w14:textId="77777777" w:rsidTr="001E485A">
        <w:trPr>
          <w:trHeight w:val="552"/>
          <w:jc w:val="center"/>
        </w:trPr>
        <w:tc>
          <w:tcPr>
            <w:tcW w:w="3403" w:type="dxa"/>
            <w:shd w:val="clear" w:color="auto" w:fill="A6A6A6" w:themeFill="background1" w:themeFillShade="A6"/>
            <w:vAlign w:val="center"/>
          </w:tcPr>
          <w:p w14:paraId="7673977C" w14:textId="1FC3F0E6" w:rsidR="00791642" w:rsidRPr="00882976" w:rsidRDefault="00791642" w:rsidP="00791642">
            <w:pPr>
              <w:pStyle w:val="NoSpacing"/>
              <w:rPr>
                <w:rFonts w:cs="Arial"/>
                <w:b/>
                <w:szCs w:val="24"/>
              </w:rPr>
            </w:pPr>
            <w:r w:rsidRPr="00882976">
              <w:rPr>
                <w:rFonts w:cs="Arial"/>
                <w:b/>
                <w:szCs w:val="24"/>
              </w:rPr>
              <w:t>Total change to forecast of resources</w:t>
            </w:r>
          </w:p>
        </w:tc>
        <w:tc>
          <w:tcPr>
            <w:tcW w:w="1284" w:type="dxa"/>
            <w:shd w:val="clear" w:color="auto" w:fill="A6A6A6" w:themeFill="background1" w:themeFillShade="A6"/>
            <w:vAlign w:val="center"/>
          </w:tcPr>
          <w:p w14:paraId="4B876037" w14:textId="46979147" w:rsidR="00791642" w:rsidRPr="00882976" w:rsidRDefault="00391A51" w:rsidP="00791642">
            <w:pPr>
              <w:pStyle w:val="NoSpacing"/>
              <w:jc w:val="center"/>
              <w:rPr>
                <w:rFonts w:cs="Arial"/>
                <w:b/>
                <w:szCs w:val="24"/>
              </w:rPr>
            </w:pPr>
            <w:r w:rsidRPr="00882976">
              <w:rPr>
                <w:rFonts w:cs="Arial"/>
                <w:b/>
                <w:szCs w:val="24"/>
              </w:rPr>
              <w:t>0.000</w:t>
            </w:r>
          </w:p>
        </w:tc>
        <w:tc>
          <w:tcPr>
            <w:tcW w:w="1284" w:type="dxa"/>
            <w:shd w:val="clear" w:color="auto" w:fill="A6A6A6" w:themeFill="background1" w:themeFillShade="A6"/>
            <w:vAlign w:val="center"/>
          </w:tcPr>
          <w:p w14:paraId="2382F4AD" w14:textId="3FAD3054" w:rsidR="00791642" w:rsidRPr="00882976" w:rsidRDefault="00391A51" w:rsidP="00791642">
            <w:pPr>
              <w:pStyle w:val="NoSpacing"/>
              <w:jc w:val="center"/>
              <w:rPr>
                <w:rFonts w:cs="Arial"/>
                <w:b/>
                <w:szCs w:val="24"/>
              </w:rPr>
            </w:pPr>
            <w:r w:rsidRPr="00882976">
              <w:rPr>
                <w:rFonts w:cs="Arial"/>
                <w:b/>
                <w:szCs w:val="24"/>
              </w:rPr>
              <w:t>0.000</w:t>
            </w:r>
          </w:p>
        </w:tc>
        <w:tc>
          <w:tcPr>
            <w:tcW w:w="1284" w:type="dxa"/>
            <w:shd w:val="clear" w:color="auto" w:fill="A6A6A6" w:themeFill="background1" w:themeFillShade="A6"/>
            <w:vAlign w:val="center"/>
          </w:tcPr>
          <w:p w14:paraId="71F14A64" w14:textId="7223D0B1" w:rsidR="00791642" w:rsidRPr="00882976" w:rsidRDefault="00391A51" w:rsidP="00791642">
            <w:pPr>
              <w:pStyle w:val="NoSpacing"/>
              <w:jc w:val="center"/>
              <w:rPr>
                <w:rFonts w:cs="Arial"/>
                <w:b/>
                <w:szCs w:val="24"/>
              </w:rPr>
            </w:pPr>
            <w:r w:rsidRPr="00882976">
              <w:rPr>
                <w:rFonts w:cs="Arial"/>
                <w:b/>
                <w:szCs w:val="24"/>
              </w:rPr>
              <w:t>0.000</w:t>
            </w:r>
          </w:p>
        </w:tc>
        <w:tc>
          <w:tcPr>
            <w:tcW w:w="1284" w:type="dxa"/>
            <w:shd w:val="clear" w:color="auto" w:fill="A6A6A6" w:themeFill="background1" w:themeFillShade="A6"/>
            <w:vAlign w:val="center"/>
          </w:tcPr>
          <w:p w14:paraId="50BFCB59" w14:textId="630A0FC2" w:rsidR="00791642" w:rsidRPr="00882976" w:rsidRDefault="00391A51" w:rsidP="00791642">
            <w:pPr>
              <w:pStyle w:val="NoSpacing"/>
              <w:jc w:val="center"/>
              <w:rPr>
                <w:rFonts w:cs="Arial"/>
                <w:b/>
                <w:szCs w:val="24"/>
              </w:rPr>
            </w:pPr>
            <w:r w:rsidRPr="00882976">
              <w:rPr>
                <w:rFonts w:cs="Arial"/>
                <w:b/>
                <w:szCs w:val="24"/>
              </w:rPr>
              <w:t>0.000</w:t>
            </w:r>
          </w:p>
        </w:tc>
        <w:tc>
          <w:tcPr>
            <w:tcW w:w="1284" w:type="dxa"/>
            <w:shd w:val="clear" w:color="auto" w:fill="A6A6A6" w:themeFill="background1" w:themeFillShade="A6"/>
            <w:vAlign w:val="center"/>
          </w:tcPr>
          <w:p w14:paraId="68E8FA42" w14:textId="140B7041" w:rsidR="00791642" w:rsidRPr="00882976" w:rsidRDefault="00391A51" w:rsidP="001E485A">
            <w:pPr>
              <w:pStyle w:val="NoSpacing"/>
              <w:jc w:val="center"/>
              <w:rPr>
                <w:rFonts w:cs="Arial"/>
                <w:b/>
                <w:szCs w:val="24"/>
              </w:rPr>
            </w:pPr>
            <w:r w:rsidRPr="00882976">
              <w:rPr>
                <w:rFonts w:cs="Arial"/>
                <w:b/>
                <w:szCs w:val="24"/>
              </w:rPr>
              <w:t>0.000</w:t>
            </w:r>
          </w:p>
        </w:tc>
      </w:tr>
      <w:tr w:rsidR="00791642" w:rsidRPr="00882976" w14:paraId="7D47F75D" w14:textId="55BD09E4" w:rsidTr="001E485A">
        <w:trPr>
          <w:trHeight w:val="552"/>
          <w:jc w:val="center"/>
        </w:trPr>
        <w:tc>
          <w:tcPr>
            <w:tcW w:w="3403" w:type="dxa"/>
            <w:vAlign w:val="center"/>
          </w:tcPr>
          <w:p w14:paraId="18F268D2" w14:textId="410528C4" w:rsidR="00791642" w:rsidRPr="00882976" w:rsidRDefault="00791642" w:rsidP="00791642">
            <w:pPr>
              <w:pStyle w:val="NoSpacing"/>
              <w:rPr>
                <w:rFonts w:cs="Arial"/>
                <w:b/>
                <w:szCs w:val="24"/>
              </w:rPr>
            </w:pPr>
          </w:p>
        </w:tc>
        <w:tc>
          <w:tcPr>
            <w:tcW w:w="1284" w:type="dxa"/>
            <w:vAlign w:val="center"/>
          </w:tcPr>
          <w:p w14:paraId="26ABFD8B" w14:textId="135F1068" w:rsidR="00791642" w:rsidRPr="00882976" w:rsidRDefault="00791642" w:rsidP="00791642">
            <w:pPr>
              <w:pStyle w:val="NoSpacing"/>
              <w:jc w:val="center"/>
              <w:rPr>
                <w:rFonts w:cs="Arial"/>
                <w:szCs w:val="24"/>
              </w:rPr>
            </w:pPr>
          </w:p>
        </w:tc>
        <w:tc>
          <w:tcPr>
            <w:tcW w:w="1284" w:type="dxa"/>
            <w:vAlign w:val="center"/>
          </w:tcPr>
          <w:p w14:paraId="2F2A9700" w14:textId="2C1DEECE" w:rsidR="00791642" w:rsidRPr="00882976" w:rsidRDefault="00791642" w:rsidP="00791642">
            <w:pPr>
              <w:pStyle w:val="NoSpacing"/>
              <w:jc w:val="center"/>
              <w:rPr>
                <w:rFonts w:cs="Arial"/>
                <w:szCs w:val="24"/>
              </w:rPr>
            </w:pPr>
          </w:p>
        </w:tc>
        <w:tc>
          <w:tcPr>
            <w:tcW w:w="1284" w:type="dxa"/>
            <w:vAlign w:val="center"/>
          </w:tcPr>
          <w:p w14:paraId="0FEFA080" w14:textId="6E0AB711" w:rsidR="00791642" w:rsidRPr="00882976" w:rsidRDefault="00791642" w:rsidP="00791642">
            <w:pPr>
              <w:pStyle w:val="NoSpacing"/>
              <w:jc w:val="center"/>
              <w:rPr>
                <w:rFonts w:cs="Arial"/>
                <w:szCs w:val="24"/>
              </w:rPr>
            </w:pPr>
          </w:p>
        </w:tc>
        <w:tc>
          <w:tcPr>
            <w:tcW w:w="1284" w:type="dxa"/>
            <w:vAlign w:val="center"/>
          </w:tcPr>
          <w:p w14:paraId="76ED00E3" w14:textId="6EC09B17" w:rsidR="00791642" w:rsidRPr="00882976" w:rsidRDefault="00791642" w:rsidP="00791642">
            <w:pPr>
              <w:pStyle w:val="NoSpacing"/>
              <w:jc w:val="center"/>
              <w:rPr>
                <w:rFonts w:cs="Arial"/>
                <w:szCs w:val="24"/>
              </w:rPr>
            </w:pPr>
          </w:p>
        </w:tc>
        <w:tc>
          <w:tcPr>
            <w:tcW w:w="1284" w:type="dxa"/>
            <w:vAlign w:val="center"/>
          </w:tcPr>
          <w:p w14:paraId="50316624" w14:textId="77777777" w:rsidR="00791642" w:rsidRPr="00882976" w:rsidRDefault="00791642" w:rsidP="001E485A">
            <w:pPr>
              <w:pStyle w:val="NoSpacing"/>
              <w:jc w:val="center"/>
              <w:rPr>
                <w:rFonts w:cs="Arial"/>
                <w:b/>
                <w:szCs w:val="24"/>
              </w:rPr>
            </w:pPr>
          </w:p>
        </w:tc>
      </w:tr>
      <w:tr w:rsidR="00791642" w:rsidRPr="00882976" w14:paraId="706E2A59" w14:textId="122845A7" w:rsidTr="001E485A">
        <w:trPr>
          <w:trHeight w:val="552"/>
          <w:jc w:val="center"/>
        </w:trPr>
        <w:tc>
          <w:tcPr>
            <w:tcW w:w="3403" w:type="dxa"/>
            <w:shd w:val="clear" w:color="auto" w:fill="A6A6A6" w:themeFill="background1" w:themeFillShade="A6"/>
            <w:vAlign w:val="center"/>
          </w:tcPr>
          <w:p w14:paraId="4CE9ACC9" w14:textId="552FE98E" w:rsidR="00791642" w:rsidRPr="00882976" w:rsidRDefault="00791642" w:rsidP="00791642">
            <w:pPr>
              <w:pStyle w:val="NoSpacing"/>
              <w:rPr>
                <w:rFonts w:cs="Arial"/>
                <w:b/>
                <w:szCs w:val="24"/>
              </w:rPr>
            </w:pPr>
            <w:r w:rsidRPr="00882976">
              <w:rPr>
                <w:rFonts w:cs="Arial"/>
                <w:b/>
                <w:szCs w:val="24"/>
              </w:rPr>
              <w:t>Revised funding gap</w:t>
            </w:r>
          </w:p>
        </w:tc>
        <w:tc>
          <w:tcPr>
            <w:tcW w:w="1284" w:type="dxa"/>
            <w:shd w:val="clear" w:color="auto" w:fill="A6A6A6" w:themeFill="background1" w:themeFillShade="A6"/>
            <w:vAlign w:val="center"/>
          </w:tcPr>
          <w:p w14:paraId="3B967A8E" w14:textId="1760395A" w:rsidR="00791642" w:rsidRPr="00882976" w:rsidRDefault="009E3967" w:rsidP="00975679">
            <w:pPr>
              <w:pStyle w:val="NoSpacing"/>
              <w:jc w:val="center"/>
              <w:rPr>
                <w:rFonts w:cs="Arial"/>
                <w:b/>
                <w:szCs w:val="24"/>
              </w:rPr>
            </w:pPr>
            <w:r w:rsidRPr="00882976">
              <w:rPr>
                <w:rFonts w:cs="Arial"/>
                <w:b/>
                <w:szCs w:val="24"/>
              </w:rPr>
              <w:t>60.350</w:t>
            </w:r>
          </w:p>
        </w:tc>
        <w:tc>
          <w:tcPr>
            <w:tcW w:w="1284" w:type="dxa"/>
            <w:shd w:val="clear" w:color="auto" w:fill="A6A6A6" w:themeFill="background1" w:themeFillShade="A6"/>
            <w:vAlign w:val="center"/>
          </w:tcPr>
          <w:p w14:paraId="16E863C5" w14:textId="2B7C9F3B" w:rsidR="00791642" w:rsidRPr="00882976" w:rsidRDefault="009E3967" w:rsidP="00791642">
            <w:pPr>
              <w:pStyle w:val="NoSpacing"/>
              <w:jc w:val="center"/>
              <w:rPr>
                <w:rFonts w:cs="Arial"/>
                <w:b/>
                <w:szCs w:val="24"/>
              </w:rPr>
            </w:pPr>
            <w:r w:rsidRPr="00882976">
              <w:rPr>
                <w:rFonts w:cs="Arial"/>
                <w:b/>
                <w:szCs w:val="24"/>
              </w:rPr>
              <w:t>26.497</w:t>
            </w:r>
          </w:p>
        </w:tc>
        <w:tc>
          <w:tcPr>
            <w:tcW w:w="1284" w:type="dxa"/>
            <w:shd w:val="clear" w:color="auto" w:fill="A6A6A6" w:themeFill="background1" w:themeFillShade="A6"/>
            <w:vAlign w:val="center"/>
          </w:tcPr>
          <w:p w14:paraId="6C48294C" w14:textId="6FE24577" w:rsidR="00791642" w:rsidRPr="00882976" w:rsidRDefault="009E3967" w:rsidP="00791642">
            <w:pPr>
              <w:pStyle w:val="NoSpacing"/>
              <w:jc w:val="center"/>
              <w:rPr>
                <w:rFonts w:cs="Arial"/>
                <w:b/>
                <w:szCs w:val="24"/>
              </w:rPr>
            </w:pPr>
            <w:r w:rsidRPr="00882976">
              <w:rPr>
                <w:rFonts w:cs="Arial"/>
                <w:b/>
                <w:szCs w:val="24"/>
              </w:rPr>
              <w:t>31.032</w:t>
            </w:r>
          </w:p>
        </w:tc>
        <w:tc>
          <w:tcPr>
            <w:tcW w:w="1284" w:type="dxa"/>
            <w:shd w:val="clear" w:color="auto" w:fill="A6A6A6" w:themeFill="background1" w:themeFillShade="A6"/>
            <w:vAlign w:val="center"/>
          </w:tcPr>
          <w:p w14:paraId="2765334F" w14:textId="652CB43F" w:rsidR="00791642" w:rsidRPr="00882976" w:rsidRDefault="009E3967" w:rsidP="00791642">
            <w:pPr>
              <w:pStyle w:val="NoSpacing"/>
              <w:jc w:val="center"/>
              <w:rPr>
                <w:rFonts w:cs="Arial"/>
                <w:b/>
                <w:szCs w:val="24"/>
              </w:rPr>
            </w:pPr>
            <w:r w:rsidRPr="00882976">
              <w:rPr>
                <w:rFonts w:cs="Arial"/>
                <w:b/>
                <w:szCs w:val="24"/>
              </w:rPr>
              <w:t>28.254</w:t>
            </w:r>
          </w:p>
        </w:tc>
        <w:tc>
          <w:tcPr>
            <w:tcW w:w="1284" w:type="dxa"/>
            <w:shd w:val="clear" w:color="auto" w:fill="A6A6A6" w:themeFill="background1" w:themeFillShade="A6"/>
            <w:vAlign w:val="center"/>
          </w:tcPr>
          <w:p w14:paraId="2E04D197" w14:textId="031D4EFD" w:rsidR="00791642" w:rsidRPr="00882976" w:rsidRDefault="009E3967" w:rsidP="00BA18AB">
            <w:pPr>
              <w:pStyle w:val="NoSpacing"/>
              <w:jc w:val="center"/>
              <w:rPr>
                <w:rFonts w:cs="Arial"/>
                <w:b/>
                <w:szCs w:val="24"/>
              </w:rPr>
            </w:pPr>
            <w:r w:rsidRPr="00882976">
              <w:rPr>
                <w:rFonts w:cs="Arial"/>
                <w:b/>
                <w:szCs w:val="24"/>
              </w:rPr>
              <w:t>146.133</w:t>
            </w:r>
          </w:p>
        </w:tc>
      </w:tr>
    </w:tbl>
    <w:p w14:paraId="0B83B485" w14:textId="77777777" w:rsidR="008150B9" w:rsidRPr="00882976" w:rsidRDefault="008150B9" w:rsidP="007C6727">
      <w:pPr>
        <w:spacing w:after="0"/>
        <w:rPr>
          <w:rFonts w:cs="Arial"/>
          <w:b/>
          <w:highlight w:val="yellow"/>
        </w:rPr>
      </w:pPr>
    </w:p>
    <w:p w14:paraId="65D6683D" w14:textId="77777777" w:rsidR="00234950" w:rsidRPr="00882976" w:rsidRDefault="00234950" w:rsidP="007C6727">
      <w:pPr>
        <w:spacing w:after="0"/>
        <w:rPr>
          <w:rFonts w:cs="Arial"/>
          <w:b/>
          <w:highlight w:val="yellow"/>
        </w:rPr>
      </w:pPr>
    </w:p>
    <w:tbl>
      <w:tblPr>
        <w:tblStyle w:val="TableGrid"/>
        <w:tblW w:w="9823" w:type="dxa"/>
        <w:jc w:val="center"/>
        <w:tblLayout w:type="fixed"/>
        <w:tblLook w:val="04A0" w:firstRow="1" w:lastRow="0" w:firstColumn="1" w:lastColumn="0" w:noHBand="0" w:noVBand="1"/>
      </w:tblPr>
      <w:tblGrid>
        <w:gridCol w:w="3403"/>
        <w:gridCol w:w="1284"/>
        <w:gridCol w:w="1284"/>
        <w:gridCol w:w="1284"/>
        <w:gridCol w:w="1284"/>
        <w:gridCol w:w="1284"/>
      </w:tblGrid>
      <w:tr w:rsidR="007F6B26" w:rsidRPr="00882976" w14:paraId="487386D6" w14:textId="77777777" w:rsidTr="00BE49A6">
        <w:trPr>
          <w:trHeight w:val="593"/>
          <w:jc w:val="center"/>
        </w:trPr>
        <w:tc>
          <w:tcPr>
            <w:tcW w:w="3403" w:type="dxa"/>
            <w:shd w:val="clear" w:color="auto" w:fill="BFBFBF" w:themeFill="background1" w:themeFillShade="BF"/>
            <w:vAlign w:val="center"/>
          </w:tcPr>
          <w:p w14:paraId="203E47E1" w14:textId="5F3305F7" w:rsidR="007F6B26" w:rsidRPr="00882976" w:rsidRDefault="007F6B26" w:rsidP="00BE49A6">
            <w:pPr>
              <w:pStyle w:val="NoSpacing"/>
              <w:jc w:val="center"/>
              <w:rPr>
                <w:rFonts w:cs="Arial"/>
                <w:b/>
                <w:szCs w:val="24"/>
              </w:rPr>
            </w:pPr>
            <w:r w:rsidRPr="00882976">
              <w:rPr>
                <w:rFonts w:cs="Arial"/>
                <w:b/>
                <w:szCs w:val="24"/>
              </w:rPr>
              <w:t>Aggregated Funding Gap</w:t>
            </w:r>
          </w:p>
        </w:tc>
        <w:tc>
          <w:tcPr>
            <w:tcW w:w="1284" w:type="dxa"/>
            <w:shd w:val="clear" w:color="auto" w:fill="BFBFBF" w:themeFill="background1" w:themeFillShade="BF"/>
            <w:vAlign w:val="center"/>
          </w:tcPr>
          <w:p w14:paraId="27CD97FC" w14:textId="70BD3B89" w:rsidR="007F6B26" w:rsidRPr="00882976" w:rsidRDefault="007F6B26" w:rsidP="00BE49A6">
            <w:pPr>
              <w:pStyle w:val="NoSpacing"/>
              <w:jc w:val="center"/>
              <w:rPr>
                <w:rFonts w:cs="Arial"/>
                <w:b/>
                <w:szCs w:val="24"/>
              </w:rPr>
            </w:pPr>
          </w:p>
        </w:tc>
        <w:tc>
          <w:tcPr>
            <w:tcW w:w="1284" w:type="dxa"/>
            <w:shd w:val="clear" w:color="auto" w:fill="BFBFBF" w:themeFill="background1" w:themeFillShade="BF"/>
            <w:vAlign w:val="center"/>
          </w:tcPr>
          <w:p w14:paraId="2E4C46D3" w14:textId="361225F1" w:rsidR="007F6B26" w:rsidRPr="00882976" w:rsidRDefault="007F6B26" w:rsidP="00BE49A6">
            <w:pPr>
              <w:pStyle w:val="NoSpacing"/>
              <w:jc w:val="center"/>
              <w:rPr>
                <w:rFonts w:cs="Arial"/>
                <w:b/>
                <w:szCs w:val="24"/>
              </w:rPr>
            </w:pPr>
          </w:p>
        </w:tc>
        <w:tc>
          <w:tcPr>
            <w:tcW w:w="1284" w:type="dxa"/>
            <w:shd w:val="clear" w:color="auto" w:fill="BFBFBF" w:themeFill="background1" w:themeFillShade="BF"/>
            <w:vAlign w:val="center"/>
          </w:tcPr>
          <w:p w14:paraId="74FF0018" w14:textId="7665AFB2" w:rsidR="007F6B26" w:rsidRPr="00882976" w:rsidRDefault="007F6B26" w:rsidP="00BE49A6">
            <w:pPr>
              <w:pStyle w:val="NoSpacing"/>
              <w:jc w:val="center"/>
              <w:rPr>
                <w:rFonts w:cs="Arial"/>
                <w:b/>
                <w:szCs w:val="24"/>
              </w:rPr>
            </w:pPr>
          </w:p>
        </w:tc>
        <w:tc>
          <w:tcPr>
            <w:tcW w:w="1284" w:type="dxa"/>
            <w:shd w:val="clear" w:color="auto" w:fill="BFBFBF" w:themeFill="background1" w:themeFillShade="BF"/>
            <w:vAlign w:val="center"/>
          </w:tcPr>
          <w:p w14:paraId="02D0EC02" w14:textId="592B8A4E" w:rsidR="007F6B26" w:rsidRPr="00882976" w:rsidRDefault="007F6B26" w:rsidP="00BE49A6">
            <w:pPr>
              <w:pStyle w:val="NoSpacing"/>
              <w:jc w:val="center"/>
              <w:rPr>
                <w:rFonts w:cs="Arial"/>
                <w:b/>
                <w:szCs w:val="24"/>
              </w:rPr>
            </w:pPr>
          </w:p>
        </w:tc>
        <w:tc>
          <w:tcPr>
            <w:tcW w:w="1284" w:type="dxa"/>
            <w:shd w:val="clear" w:color="auto" w:fill="BFBFBF" w:themeFill="background1" w:themeFillShade="BF"/>
          </w:tcPr>
          <w:p w14:paraId="23FACB31" w14:textId="77777777" w:rsidR="007F6B26" w:rsidRPr="00882976" w:rsidRDefault="007F6B26" w:rsidP="00BE49A6">
            <w:pPr>
              <w:pStyle w:val="NoSpacing"/>
              <w:jc w:val="center"/>
              <w:rPr>
                <w:rFonts w:cs="Arial"/>
                <w:b/>
                <w:szCs w:val="24"/>
              </w:rPr>
            </w:pPr>
            <w:r w:rsidRPr="00882976">
              <w:rPr>
                <w:rFonts w:cs="Arial"/>
                <w:b/>
                <w:szCs w:val="24"/>
              </w:rPr>
              <w:t xml:space="preserve">Total </w:t>
            </w:r>
          </w:p>
          <w:p w14:paraId="6751CEB3" w14:textId="77777777" w:rsidR="007F6B26" w:rsidRPr="00882976" w:rsidRDefault="007F6B26" w:rsidP="00BE49A6">
            <w:pPr>
              <w:pStyle w:val="NoSpacing"/>
              <w:jc w:val="center"/>
              <w:rPr>
                <w:rFonts w:cs="Arial"/>
                <w:b/>
                <w:szCs w:val="24"/>
              </w:rPr>
            </w:pPr>
            <w:r w:rsidRPr="00882976">
              <w:rPr>
                <w:rFonts w:cs="Arial"/>
                <w:b/>
                <w:szCs w:val="24"/>
              </w:rPr>
              <w:t>£m</w:t>
            </w:r>
          </w:p>
        </w:tc>
      </w:tr>
      <w:tr w:rsidR="007F6B26" w:rsidRPr="00882976" w14:paraId="6184F566" w14:textId="77777777" w:rsidTr="00BE49A6">
        <w:trPr>
          <w:trHeight w:val="552"/>
          <w:jc w:val="center"/>
        </w:trPr>
        <w:tc>
          <w:tcPr>
            <w:tcW w:w="3403" w:type="dxa"/>
            <w:vAlign w:val="center"/>
          </w:tcPr>
          <w:p w14:paraId="4E5A1F62" w14:textId="6595FF78" w:rsidR="007F6B26" w:rsidRPr="00882976" w:rsidRDefault="007F6B26" w:rsidP="00BE49A6">
            <w:pPr>
              <w:pStyle w:val="NoSpacing"/>
              <w:rPr>
                <w:rFonts w:cs="Arial"/>
                <w:b/>
                <w:szCs w:val="24"/>
              </w:rPr>
            </w:pPr>
            <w:r w:rsidRPr="00882976">
              <w:rPr>
                <w:rFonts w:cs="Arial"/>
                <w:b/>
                <w:szCs w:val="24"/>
              </w:rPr>
              <w:t>2017/18 (£m)</w:t>
            </w:r>
          </w:p>
        </w:tc>
        <w:tc>
          <w:tcPr>
            <w:tcW w:w="1284" w:type="dxa"/>
            <w:vAlign w:val="center"/>
          </w:tcPr>
          <w:p w14:paraId="7272D4AE" w14:textId="47E61D4F" w:rsidR="007F6B26" w:rsidRPr="00882976" w:rsidRDefault="009E3967" w:rsidP="00BE49A6">
            <w:pPr>
              <w:pStyle w:val="NoSpacing"/>
              <w:jc w:val="center"/>
              <w:rPr>
                <w:rFonts w:cs="Arial"/>
                <w:szCs w:val="24"/>
              </w:rPr>
            </w:pPr>
            <w:r w:rsidRPr="00882976">
              <w:rPr>
                <w:rFonts w:cs="Arial"/>
                <w:szCs w:val="24"/>
              </w:rPr>
              <w:t>60.350</w:t>
            </w:r>
          </w:p>
        </w:tc>
        <w:tc>
          <w:tcPr>
            <w:tcW w:w="1284" w:type="dxa"/>
            <w:vAlign w:val="center"/>
          </w:tcPr>
          <w:p w14:paraId="3A560E7F" w14:textId="186BC801" w:rsidR="007F6B26" w:rsidRPr="00882976" w:rsidRDefault="009E3967" w:rsidP="00BE49A6">
            <w:pPr>
              <w:pStyle w:val="NoSpacing"/>
              <w:jc w:val="center"/>
              <w:rPr>
                <w:rFonts w:cs="Arial"/>
                <w:szCs w:val="24"/>
              </w:rPr>
            </w:pPr>
            <w:r w:rsidRPr="00882976">
              <w:rPr>
                <w:rFonts w:cs="Arial"/>
                <w:szCs w:val="24"/>
              </w:rPr>
              <w:t>60.350</w:t>
            </w:r>
          </w:p>
        </w:tc>
        <w:tc>
          <w:tcPr>
            <w:tcW w:w="1284" w:type="dxa"/>
            <w:vAlign w:val="center"/>
          </w:tcPr>
          <w:p w14:paraId="1276FE93" w14:textId="505E2F5E" w:rsidR="007F6B26" w:rsidRPr="00882976" w:rsidRDefault="009E3967" w:rsidP="00BE49A6">
            <w:pPr>
              <w:pStyle w:val="NoSpacing"/>
              <w:jc w:val="center"/>
              <w:rPr>
                <w:rFonts w:cs="Arial"/>
                <w:szCs w:val="24"/>
              </w:rPr>
            </w:pPr>
            <w:r w:rsidRPr="00882976">
              <w:rPr>
                <w:rFonts w:cs="Arial"/>
                <w:szCs w:val="24"/>
              </w:rPr>
              <w:t>60.350</w:t>
            </w:r>
          </w:p>
        </w:tc>
        <w:tc>
          <w:tcPr>
            <w:tcW w:w="1284" w:type="dxa"/>
            <w:vAlign w:val="center"/>
          </w:tcPr>
          <w:p w14:paraId="7A10F81C" w14:textId="2A40515F" w:rsidR="007F6B26" w:rsidRPr="00882976" w:rsidRDefault="009E3967" w:rsidP="00BE49A6">
            <w:pPr>
              <w:pStyle w:val="NoSpacing"/>
              <w:jc w:val="center"/>
              <w:rPr>
                <w:rFonts w:cs="Arial"/>
                <w:szCs w:val="24"/>
              </w:rPr>
            </w:pPr>
            <w:r w:rsidRPr="00882976">
              <w:rPr>
                <w:rFonts w:cs="Arial"/>
                <w:szCs w:val="24"/>
              </w:rPr>
              <w:t>60.350</w:t>
            </w:r>
          </w:p>
        </w:tc>
        <w:tc>
          <w:tcPr>
            <w:tcW w:w="1284" w:type="dxa"/>
            <w:vAlign w:val="center"/>
          </w:tcPr>
          <w:p w14:paraId="780B388A" w14:textId="1119ACA0" w:rsidR="007F6B26" w:rsidRPr="00882976" w:rsidRDefault="009D4688" w:rsidP="00BE49A6">
            <w:pPr>
              <w:pStyle w:val="NoSpacing"/>
              <w:jc w:val="center"/>
              <w:rPr>
                <w:rFonts w:cs="Arial"/>
                <w:b/>
                <w:szCs w:val="24"/>
              </w:rPr>
            </w:pPr>
            <w:r>
              <w:rPr>
                <w:rFonts w:cs="Arial"/>
                <w:b/>
                <w:szCs w:val="24"/>
              </w:rPr>
              <w:t>241.400</w:t>
            </w:r>
          </w:p>
        </w:tc>
      </w:tr>
      <w:tr w:rsidR="007F6B26" w:rsidRPr="00882976" w14:paraId="779DCC81" w14:textId="77777777" w:rsidTr="00BE49A6">
        <w:trPr>
          <w:trHeight w:val="552"/>
          <w:jc w:val="center"/>
        </w:trPr>
        <w:tc>
          <w:tcPr>
            <w:tcW w:w="3403" w:type="dxa"/>
            <w:vAlign w:val="center"/>
          </w:tcPr>
          <w:p w14:paraId="5BDE296B" w14:textId="4C303264" w:rsidR="007F6B26" w:rsidRPr="00882976" w:rsidRDefault="007F6B26" w:rsidP="00BE49A6">
            <w:pPr>
              <w:pStyle w:val="NoSpacing"/>
              <w:rPr>
                <w:rFonts w:cs="Arial"/>
                <w:b/>
                <w:szCs w:val="24"/>
              </w:rPr>
            </w:pPr>
            <w:r w:rsidRPr="00882976">
              <w:rPr>
                <w:rFonts w:cs="Arial"/>
                <w:b/>
                <w:szCs w:val="24"/>
              </w:rPr>
              <w:t>2018/19 (£m)</w:t>
            </w:r>
          </w:p>
        </w:tc>
        <w:tc>
          <w:tcPr>
            <w:tcW w:w="1284" w:type="dxa"/>
            <w:vAlign w:val="center"/>
          </w:tcPr>
          <w:p w14:paraId="74E7DE09" w14:textId="77777777" w:rsidR="007F6B26" w:rsidRPr="00882976" w:rsidRDefault="007F6B26" w:rsidP="00BE49A6">
            <w:pPr>
              <w:pStyle w:val="NoSpacing"/>
              <w:jc w:val="center"/>
              <w:rPr>
                <w:rFonts w:cs="Arial"/>
                <w:szCs w:val="24"/>
              </w:rPr>
            </w:pPr>
          </w:p>
        </w:tc>
        <w:tc>
          <w:tcPr>
            <w:tcW w:w="1284" w:type="dxa"/>
            <w:vAlign w:val="center"/>
          </w:tcPr>
          <w:p w14:paraId="7E3DFC3F" w14:textId="12BBBE89" w:rsidR="007F6B26" w:rsidRPr="00882976" w:rsidRDefault="009E3967" w:rsidP="00BE49A6">
            <w:pPr>
              <w:pStyle w:val="NoSpacing"/>
              <w:jc w:val="center"/>
              <w:rPr>
                <w:rFonts w:cs="Arial"/>
                <w:szCs w:val="24"/>
              </w:rPr>
            </w:pPr>
            <w:r w:rsidRPr="00882976">
              <w:rPr>
                <w:rFonts w:cs="Arial"/>
                <w:szCs w:val="24"/>
              </w:rPr>
              <w:t>26.497</w:t>
            </w:r>
          </w:p>
        </w:tc>
        <w:tc>
          <w:tcPr>
            <w:tcW w:w="1284" w:type="dxa"/>
            <w:vAlign w:val="center"/>
          </w:tcPr>
          <w:p w14:paraId="2B02FC31" w14:textId="78F61FD8" w:rsidR="007F6B26" w:rsidRPr="00882976" w:rsidRDefault="009E3967" w:rsidP="00BE49A6">
            <w:pPr>
              <w:pStyle w:val="NoSpacing"/>
              <w:jc w:val="center"/>
              <w:rPr>
                <w:rFonts w:cs="Arial"/>
                <w:szCs w:val="24"/>
              </w:rPr>
            </w:pPr>
            <w:r w:rsidRPr="00882976">
              <w:rPr>
                <w:rFonts w:cs="Arial"/>
                <w:szCs w:val="24"/>
              </w:rPr>
              <w:t>26.497</w:t>
            </w:r>
          </w:p>
        </w:tc>
        <w:tc>
          <w:tcPr>
            <w:tcW w:w="1284" w:type="dxa"/>
            <w:vAlign w:val="center"/>
          </w:tcPr>
          <w:p w14:paraId="2C91AEA8" w14:textId="02785AAF" w:rsidR="007F6B26" w:rsidRPr="00882976" w:rsidRDefault="009E3967" w:rsidP="00BE49A6">
            <w:pPr>
              <w:pStyle w:val="NoSpacing"/>
              <w:jc w:val="center"/>
              <w:rPr>
                <w:rFonts w:cs="Arial"/>
                <w:szCs w:val="24"/>
              </w:rPr>
            </w:pPr>
            <w:r w:rsidRPr="00882976">
              <w:rPr>
                <w:rFonts w:cs="Arial"/>
                <w:szCs w:val="24"/>
              </w:rPr>
              <w:t>26.497</w:t>
            </w:r>
          </w:p>
        </w:tc>
        <w:tc>
          <w:tcPr>
            <w:tcW w:w="1284" w:type="dxa"/>
            <w:vAlign w:val="center"/>
          </w:tcPr>
          <w:p w14:paraId="6BE6281D" w14:textId="2098EFFA" w:rsidR="007F6B26" w:rsidRPr="00882976" w:rsidRDefault="009D4688" w:rsidP="00BE49A6">
            <w:pPr>
              <w:pStyle w:val="NoSpacing"/>
              <w:contextualSpacing/>
              <w:jc w:val="center"/>
              <w:rPr>
                <w:rFonts w:cs="Arial"/>
                <w:b/>
                <w:szCs w:val="24"/>
              </w:rPr>
            </w:pPr>
            <w:r>
              <w:rPr>
                <w:rFonts w:cs="Arial"/>
                <w:b/>
                <w:szCs w:val="24"/>
              </w:rPr>
              <w:t>79.491</w:t>
            </w:r>
          </w:p>
        </w:tc>
      </w:tr>
      <w:tr w:rsidR="007F6B26" w:rsidRPr="00882976" w14:paraId="255448F9" w14:textId="77777777" w:rsidTr="00BE49A6">
        <w:trPr>
          <w:trHeight w:val="552"/>
          <w:jc w:val="center"/>
        </w:trPr>
        <w:tc>
          <w:tcPr>
            <w:tcW w:w="3403" w:type="dxa"/>
            <w:vAlign w:val="center"/>
          </w:tcPr>
          <w:p w14:paraId="7BBB6752" w14:textId="491755EA" w:rsidR="007F6B26" w:rsidRPr="00882976" w:rsidRDefault="007F6B26" w:rsidP="00BE49A6">
            <w:pPr>
              <w:pStyle w:val="NoSpacing"/>
              <w:rPr>
                <w:rFonts w:cs="Arial"/>
                <w:b/>
                <w:szCs w:val="24"/>
              </w:rPr>
            </w:pPr>
            <w:r w:rsidRPr="00882976">
              <w:rPr>
                <w:rFonts w:cs="Arial"/>
                <w:b/>
                <w:szCs w:val="24"/>
              </w:rPr>
              <w:t>2019/20 (£m)</w:t>
            </w:r>
          </w:p>
        </w:tc>
        <w:tc>
          <w:tcPr>
            <w:tcW w:w="1284" w:type="dxa"/>
            <w:vAlign w:val="center"/>
          </w:tcPr>
          <w:p w14:paraId="5F77BBBC" w14:textId="77777777" w:rsidR="007F6B26" w:rsidRPr="00882976" w:rsidRDefault="007F6B26" w:rsidP="00BE49A6">
            <w:pPr>
              <w:pStyle w:val="NoSpacing"/>
              <w:jc w:val="center"/>
              <w:rPr>
                <w:rFonts w:cs="Arial"/>
                <w:szCs w:val="24"/>
              </w:rPr>
            </w:pPr>
          </w:p>
        </w:tc>
        <w:tc>
          <w:tcPr>
            <w:tcW w:w="1284" w:type="dxa"/>
            <w:vAlign w:val="center"/>
          </w:tcPr>
          <w:p w14:paraId="0F69FA62" w14:textId="77777777" w:rsidR="007F6B26" w:rsidRPr="00882976" w:rsidRDefault="007F6B26" w:rsidP="00BE49A6">
            <w:pPr>
              <w:pStyle w:val="NoSpacing"/>
              <w:jc w:val="center"/>
              <w:rPr>
                <w:rFonts w:cs="Arial"/>
                <w:szCs w:val="24"/>
              </w:rPr>
            </w:pPr>
          </w:p>
        </w:tc>
        <w:tc>
          <w:tcPr>
            <w:tcW w:w="1284" w:type="dxa"/>
            <w:vAlign w:val="center"/>
          </w:tcPr>
          <w:p w14:paraId="6FB74855" w14:textId="2D1E6884" w:rsidR="007F6B26" w:rsidRPr="00882976" w:rsidRDefault="00CB5E6D" w:rsidP="00BE49A6">
            <w:pPr>
              <w:pStyle w:val="NoSpacing"/>
              <w:jc w:val="center"/>
              <w:rPr>
                <w:rFonts w:cs="Arial"/>
                <w:szCs w:val="24"/>
              </w:rPr>
            </w:pPr>
            <w:r w:rsidRPr="00882976">
              <w:rPr>
                <w:rFonts w:cs="Arial"/>
                <w:szCs w:val="24"/>
              </w:rPr>
              <w:t>31.032</w:t>
            </w:r>
          </w:p>
        </w:tc>
        <w:tc>
          <w:tcPr>
            <w:tcW w:w="1284" w:type="dxa"/>
            <w:vAlign w:val="center"/>
          </w:tcPr>
          <w:p w14:paraId="655ED0B3" w14:textId="42E18175" w:rsidR="007F6B26" w:rsidRPr="00882976" w:rsidRDefault="00CB5E6D" w:rsidP="00BE49A6">
            <w:pPr>
              <w:pStyle w:val="NoSpacing"/>
              <w:jc w:val="center"/>
              <w:rPr>
                <w:rFonts w:cs="Arial"/>
                <w:szCs w:val="24"/>
              </w:rPr>
            </w:pPr>
            <w:r w:rsidRPr="00882976">
              <w:rPr>
                <w:rFonts w:cs="Arial"/>
                <w:szCs w:val="24"/>
              </w:rPr>
              <w:t>31.032</w:t>
            </w:r>
          </w:p>
        </w:tc>
        <w:tc>
          <w:tcPr>
            <w:tcW w:w="1284" w:type="dxa"/>
            <w:vAlign w:val="center"/>
          </w:tcPr>
          <w:p w14:paraId="01794B8E" w14:textId="4504E561" w:rsidR="007F6B26" w:rsidRPr="00882976" w:rsidRDefault="009D4688" w:rsidP="00BE49A6">
            <w:pPr>
              <w:pStyle w:val="NoSpacing"/>
              <w:jc w:val="center"/>
              <w:rPr>
                <w:rFonts w:cs="Arial"/>
                <w:b/>
                <w:szCs w:val="24"/>
              </w:rPr>
            </w:pPr>
            <w:r>
              <w:rPr>
                <w:rFonts w:cs="Arial"/>
                <w:b/>
                <w:szCs w:val="24"/>
              </w:rPr>
              <w:t>62.064</w:t>
            </w:r>
          </w:p>
        </w:tc>
      </w:tr>
      <w:tr w:rsidR="007F6B26" w:rsidRPr="00882976" w14:paraId="42446A84" w14:textId="77777777" w:rsidTr="00BE49A6">
        <w:trPr>
          <w:trHeight w:val="552"/>
          <w:jc w:val="center"/>
        </w:trPr>
        <w:tc>
          <w:tcPr>
            <w:tcW w:w="3403" w:type="dxa"/>
            <w:vAlign w:val="center"/>
          </w:tcPr>
          <w:p w14:paraId="2D804FC0" w14:textId="230A76FC" w:rsidR="007F6B26" w:rsidRPr="00882976" w:rsidRDefault="007F6B26" w:rsidP="00BE49A6">
            <w:pPr>
              <w:pStyle w:val="NoSpacing"/>
              <w:rPr>
                <w:rFonts w:cs="Arial"/>
                <w:b/>
                <w:szCs w:val="24"/>
              </w:rPr>
            </w:pPr>
            <w:r w:rsidRPr="00882976">
              <w:rPr>
                <w:rFonts w:cs="Arial"/>
                <w:b/>
                <w:szCs w:val="24"/>
              </w:rPr>
              <w:t>2020/21 (£m)</w:t>
            </w:r>
          </w:p>
        </w:tc>
        <w:tc>
          <w:tcPr>
            <w:tcW w:w="1284" w:type="dxa"/>
            <w:vAlign w:val="center"/>
          </w:tcPr>
          <w:p w14:paraId="2E804F2E" w14:textId="77777777" w:rsidR="007F6B26" w:rsidRPr="00882976" w:rsidRDefault="007F6B26" w:rsidP="00BE49A6">
            <w:pPr>
              <w:pStyle w:val="NoSpacing"/>
              <w:jc w:val="center"/>
              <w:rPr>
                <w:rFonts w:cs="Arial"/>
                <w:szCs w:val="24"/>
              </w:rPr>
            </w:pPr>
          </w:p>
        </w:tc>
        <w:tc>
          <w:tcPr>
            <w:tcW w:w="1284" w:type="dxa"/>
            <w:vAlign w:val="center"/>
          </w:tcPr>
          <w:p w14:paraId="0B6A726A" w14:textId="77777777" w:rsidR="007F6B26" w:rsidRPr="00882976" w:rsidRDefault="007F6B26" w:rsidP="00BE49A6">
            <w:pPr>
              <w:pStyle w:val="NoSpacing"/>
              <w:jc w:val="center"/>
              <w:rPr>
                <w:rFonts w:cs="Arial"/>
                <w:szCs w:val="24"/>
              </w:rPr>
            </w:pPr>
          </w:p>
        </w:tc>
        <w:tc>
          <w:tcPr>
            <w:tcW w:w="1284" w:type="dxa"/>
            <w:vAlign w:val="center"/>
          </w:tcPr>
          <w:p w14:paraId="0DB40E69" w14:textId="77777777" w:rsidR="007F6B26" w:rsidRPr="00882976" w:rsidRDefault="007F6B26" w:rsidP="00BE49A6">
            <w:pPr>
              <w:pStyle w:val="NoSpacing"/>
              <w:jc w:val="center"/>
              <w:rPr>
                <w:rFonts w:cs="Arial"/>
                <w:szCs w:val="24"/>
              </w:rPr>
            </w:pPr>
          </w:p>
        </w:tc>
        <w:tc>
          <w:tcPr>
            <w:tcW w:w="1284" w:type="dxa"/>
            <w:vAlign w:val="center"/>
          </w:tcPr>
          <w:p w14:paraId="4F998F53" w14:textId="16469051" w:rsidR="007F6B26" w:rsidRPr="00882976" w:rsidRDefault="009E3967" w:rsidP="00BE49A6">
            <w:pPr>
              <w:pStyle w:val="NoSpacing"/>
              <w:jc w:val="center"/>
              <w:rPr>
                <w:rFonts w:cs="Arial"/>
                <w:szCs w:val="24"/>
              </w:rPr>
            </w:pPr>
            <w:r w:rsidRPr="00882976">
              <w:rPr>
                <w:rFonts w:cs="Arial"/>
                <w:szCs w:val="24"/>
              </w:rPr>
              <w:t>28.254</w:t>
            </w:r>
          </w:p>
        </w:tc>
        <w:tc>
          <w:tcPr>
            <w:tcW w:w="1284" w:type="dxa"/>
            <w:vAlign w:val="center"/>
          </w:tcPr>
          <w:p w14:paraId="511C35AF" w14:textId="28CCFC4C" w:rsidR="007F6B26" w:rsidRPr="00882976" w:rsidRDefault="009E3967" w:rsidP="00BE49A6">
            <w:pPr>
              <w:pStyle w:val="NoSpacing"/>
              <w:jc w:val="center"/>
              <w:rPr>
                <w:rFonts w:cs="Arial"/>
                <w:b/>
                <w:szCs w:val="24"/>
              </w:rPr>
            </w:pPr>
            <w:r w:rsidRPr="00882976">
              <w:rPr>
                <w:rFonts w:cs="Arial"/>
                <w:b/>
                <w:szCs w:val="24"/>
              </w:rPr>
              <w:t>28.254</w:t>
            </w:r>
          </w:p>
        </w:tc>
      </w:tr>
      <w:tr w:rsidR="007F6B26" w:rsidRPr="00882976" w14:paraId="70051844" w14:textId="77777777" w:rsidTr="00BE49A6">
        <w:trPr>
          <w:trHeight w:val="552"/>
          <w:jc w:val="center"/>
        </w:trPr>
        <w:tc>
          <w:tcPr>
            <w:tcW w:w="3403" w:type="dxa"/>
            <w:shd w:val="clear" w:color="auto" w:fill="BFBFBF" w:themeFill="background1" w:themeFillShade="BF"/>
            <w:vAlign w:val="center"/>
          </w:tcPr>
          <w:p w14:paraId="476C5E47" w14:textId="440AAEB1" w:rsidR="007F6B26" w:rsidRPr="00882976" w:rsidRDefault="007F6B26" w:rsidP="00BE49A6">
            <w:pPr>
              <w:pStyle w:val="NoSpacing"/>
              <w:rPr>
                <w:rFonts w:cs="Arial"/>
                <w:b/>
                <w:szCs w:val="24"/>
              </w:rPr>
            </w:pPr>
            <w:r w:rsidRPr="00882976">
              <w:rPr>
                <w:rFonts w:cs="Arial"/>
                <w:b/>
                <w:szCs w:val="24"/>
              </w:rPr>
              <w:t xml:space="preserve">Total </w:t>
            </w:r>
          </w:p>
        </w:tc>
        <w:tc>
          <w:tcPr>
            <w:tcW w:w="1284" w:type="dxa"/>
            <w:shd w:val="clear" w:color="auto" w:fill="BFBFBF" w:themeFill="background1" w:themeFillShade="BF"/>
            <w:vAlign w:val="center"/>
          </w:tcPr>
          <w:p w14:paraId="2369A74E" w14:textId="6E799823" w:rsidR="007F6B26" w:rsidRPr="00882976" w:rsidRDefault="009E3967" w:rsidP="00E06DE5">
            <w:pPr>
              <w:pStyle w:val="NoSpacing"/>
              <w:jc w:val="center"/>
              <w:rPr>
                <w:rFonts w:cs="Arial"/>
                <w:b/>
                <w:szCs w:val="24"/>
              </w:rPr>
            </w:pPr>
            <w:r w:rsidRPr="00882976">
              <w:rPr>
                <w:rFonts w:cs="Arial"/>
                <w:b/>
                <w:szCs w:val="24"/>
              </w:rPr>
              <w:t>60.350</w:t>
            </w:r>
          </w:p>
        </w:tc>
        <w:tc>
          <w:tcPr>
            <w:tcW w:w="1284" w:type="dxa"/>
            <w:shd w:val="clear" w:color="auto" w:fill="BFBFBF" w:themeFill="background1" w:themeFillShade="BF"/>
            <w:vAlign w:val="center"/>
          </w:tcPr>
          <w:p w14:paraId="27442930" w14:textId="2C05674E" w:rsidR="007F6B26" w:rsidRPr="00882976" w:rsidRDefault="009D4688" w:rsidP="00BE49A6">
            <w:pPr>
              <w:pStyle w:val="NoSpacing"/>
              <w:jc w:val="center"/>
              <w:rPr>
                <w:rFonts w:cs="Arial"/>
                <w:b/>
                <w:szCs w:val="24"/>
              </w:rPr>
            </w:pPr>
            <w:r>
              <w:rPr>
                <w:rFonts w:cs="Arial"/>
                <w:b/>
                <w:szCs w:val="24"/>
              </w:rPr>
              <w:t>86.847</w:t>
            </w:r>
          </w:p>
        </w:tc>
        <w:tc>
          <w:tcPr>
            <w:tcW w:w="1284" w:type="dxa"/>
            <w:shd w:val="clear" w:color="auto" w:fill="BFBFBF" w:themeFill="background1" w:themeFillShade="BF"/>
            <w:vAlign w:val="center"/>
          </w:tcPr>
          <w:p w14:paraId="7CECE5B5" w14:textId="0A2D6DE3" w:rsidR="007F6B26" w:rsidRPr="00882976" w:rsidRDefault="009E3967" w:rsidP="00E06DE5">
            <w:pPr>
              <w:pStyle w:val="NoSpacing"/>
              <w:jc w:val="center"/>
              <w:rPr>
                <w:rFonts w:cs="Arial"/>
                <w:b/>
                <w:szCs w:val="24"/>
              </w:rPr>
            </w:pPr>
            <w:r w:rsidRPr="00882976">
              <w:rPr>
                <w:rFonts w:cs="Arial"/>
                <w:b/>
                <w:szCs w:val="24"/>
              </w:rPr>
              <w:t>117.879</w:t>
            </w:r>
          </w:p>
        </w:tc>
        <w:tc>
          <w:tcPr>
            <w:tcW w:w="1284" w:type="dxa"/>
            <w:shd w:val="clear" w:color="auto" w:fill="BFBFBF" w:themeFill="background1" w:themeFillShade="BF"/>
            <w:vAlign w:val="center"/>
          </w:tcPr>
          <w:p w14:paraId="273557B4" w14:textId="4443418D" w:rsidR="007F6B26" w:rsidRPr="00882976" w:rsidRDefault="009E3967" w:rsidP="00E06DE5">
            <w:pPr>
              <w:pStyle w:val="NoSpacing"/>
              <w:jc w:val="center"/>
              <w:rPr>
                <w:rFonts w:cs="Arial"/>
                <w:b/>
                <w:szCs w:val="24"/>
              </w:rPr>
            </w:pPr>
            <w:r w:rsidRPr="00882976">
              <w:rPr>
                <w:rFonts w:cs="Arial"/>
                <w:b/>
                <w:szCs w:val="24"/>
              </w:rPr>
              <w:t>146.133</w:t>
            </w:r>
          </w:p>
        </w:tc>
        <w:tc>
          <w:tcPr>
            <w:tcW w:w="1284" w:type="dxa"/>
            <w:shd w:val="clear" w:color="auto" w:fill="BFBFBF" w:themeFill="background1" w:themeFillShade="BF"/>
            <w:vAlign w:val="center"/>
          </w:tcPr>
          <w:p w14:paraId="44724D1D" w14:textId="79674332" w:rsidR="007F6B26" w:rsidRPr="00882976" w:rsidRDefault="009D4688" w:rsidP="00BE49A6">
            <w:pPr>
              <w:pStyle w:val="NoSpacing"/>
              <w:jc w:val="center"/>
              <w:rPr>
                <w:rFonts w:cs="Arial"/>
                <w:b/>
                <w:szCs w:val="24"/>
              </w:rPr>
            </w:pPr>
            <w:r>
              <w:rPr>
                <w:rFonts w:cs="Arial"/>
                <w:b/>
                <w:szCs w:val="24"/>
              </w:rPr>
              <w:t>411.209</w:t>
            </w:r>
          </w:p>
        </w:tc>
      </w:tr>
    </w:tbl>
    <w:p w14:paraId="61D31BEC" w14:textId="38F52471" w:rsidR="009215EC" w:rsidRPr="0016463C" w:rsidRDefault="007F6B26" w:rsidP="0016463C">
      <w:pPr>
        <w:spacing w:after="0"/>
        <w:ind w:left="567" w:hanging="567"/>
        <w:rPr>
          <w:rFonts w:cs="Arial"/>
          <w:b/>
        </w:rPr>
      </w:pPr>
      <w:r w:rsidRPr="00882976">
        <w:rPr>
          <w:rFonts w:cs="Arial"/>
          <w:b/>
        </w:rPr>
        <w:lastRenderedPageBreak/>
        <w:t>1.3</w:t>
      </w:r>
      <w:r w:rsidR="006E0BEE" w:rsidRPr="00882976">
        <w:rPr>
          <w:rFonts w:cs="Arial"/>
          <w:b/>
        </w:rPr>
        <w:t xml:space="preserve"> </w:t>
      </w:r>
      <w:r w:rsidR="0016463C">
        <w:rPr>
          <w:rFonts w:cs="Arial"/>
          <w:b/>
        </w:rPr>
        <w:t>Conclusion</w:t>
      </w:r>
    </w:p>
    <w:p w14:paraId="05E36CC5" w14:textId="752C947A" w:rsidR="00FD51C5" w:rsidRPr="00882976" w:rsidRDefault="009215EC" w:rsidP="001E485A">
      <w:pPr>
        <w:spacing w:after="0"/>
        <w:rPr>
          <w:rFonts w:cs="Arial"/>
        </w:rPr>
      </w:pPr>
      <w:r w:rsidRPr="00882976">
        <w:rPr>
          <w:rFonts w:cs="Arial"/>
        </w:rPr>
        <w:t>Lancashire County Council continues to face</w:t>
      </w:r>
      <w:r w:rsidR="008150B9" w:rsidRPr="00882976">
        <w:rPr>
          <w:rFonts w:cs="Arial"/>
        </w:rPr>
        <w:t>, as previously stated,</w:t>
      </w:r>
      <w:r w:rsidRPr="00882976">
        <w:rPr>
          <w:rFonts w:cs="Arial"/>
        </w:rPr>
        <w:t xml:space="preserve"> an unprecedented period of financial constraint through to at least 2020/21</w:t>
      </w:r>
      <w:r w:rsidR="00522DCF" w:rsidRPr="00882976">
        <w:rPr>
          <w:rFonts w:cs="Arial"/>
        </w:rPr>
        <w:t>.</w:t>
      </w:r>
    </w:p>
    <w:p w14:paraId="4A48F6DE" w14:textId="77777777" w:rsidR="001E485A" w:rsidRPr="00882976" w:rsidRDefault="001E485A" w:rsidP="001E485A">
      <w:pPr>
        <w:spacing w:after="0"/>
        <w:rPr>
          <w:rFonts w:cs="Arial"/>
        </w:rPr>
      </w:pPr>
    </w:p>
    <w:p w14:paraId="59660A50" w14:textId="0CF70009" w:rsidR="00FD51C5" w:rsidRPr="00882976" w:rsidRDefault="00FD51C5" w:rsidP="00FD51C5">
      <w:pPr>
        <w:spacing w:after="0"/>
        <w:rPr>
          <w:rFonts w:cs="Arial"/>
        </w:rPr>
      </w:pPr>
      <w:r w:rsidRPr="00882976">
        <w:rPr>
          <w:rFonts w:cs="Arial"/>
        </w:rPr>
        <w:t>The</w:t>
      </w:r>
      <w:r w:rsidR="007F6B26" w:rsidRPr="00882976">
        <w:rPr>
          <w:rFonts w:cs="Arial"/>
        </w:rPr>
        <w:t xml:space="preserve"> recent PwC report presented to Cabinet </w:t>
      </w:r>
      <w:r w:rsidR="00E007F5" w:rsidRPr="00882976">
        <w:rPr>
          <w:rFonts w:cs="Arial"/>
        </w:rPr>
        <w:t>validated</w:t>
      </w:r>
      <w:r w:rsidR="007F6B26" w:rsidRPr="00882976">
        <w:rPr>
          <w:rFonts w:cs="Arial"/>
        </w:rPr>
        <w:t xml:space="preserve"> the MTFS position</w:t>
      </w:r>
      <w:r w:rsidR="00E007F5" w:rsidRPr="00882976">
        <w:rPr>
          <w:rFonts w:cs="Arial"/>
        </w:rPr>
        <w:t xml:space="preserve"> previously reported</w:t>
      </w:r>
      <w:r w:rsidR="007F6B26" w:rsidRPr="00882976">
        <w:rPr>
          <w:rFonts w:cs="Arial"/>
        </w:rPr>
        <w:t xml:space="preserve"> and reiterates that the</w:t>
      </w:r>
      <w:r w:rsidRPr="00882976">
        <w:rPr>
          <w:rFonts w:cs="Arial"/>
        </w:rPr>
        <w:t xml:space="preserve"> financial commitment required to fund statutory demand led services</w:t>
      </w:r>
      <w:r w:rsidR="007F6B26" w:rsidRPr="00882976">
        <w:rPr>
          <w:rFonts w:cs="Arial"/>
        </w:rPr>
        <w:t xml:space="preserve"> is above the County Council's resources</w:t>
      </w:r>
      <w:r w:rsidR="00E007F5" w:rsidRPr="00882976">
        <w:rPr>
          <w:rFonts w:cs="Arial"/>
        </w:rPr>
        <w:t>,</w:t>
      </w:r>
      <w:r w:rsidR="007F6B26" w:rsidRPr="00882976">
        <w:rPr>
          <w:rFonts w:cs="Arial"/>
        </w:rPr>
        <w:t xml:space="preserve"> even if the lowest quartile benchmark for expenditure is achieved</w:t>
      </w:r>
      <w:r w:rsidR="00E007F5" w:rsidRPr="00882976">
        <w:rPr>
          <w:rFonts w:cs="Arial"/>
        </w:rPr>
        <w:t xml:space="preserve"> in each service area</w:t>
      </w:r>
      <w:r w:rsidRPr="00882976">
        <w:rPr>
          <w:rFonts w:cs="Arial"/>
        </w:rPr>
        <w:t xml:space="preserve">.  </w:t>
      </w:r>
      <w:r w:rsidR="00E007F5" w:rsidRPr="00882976">
        <w:rPr>
          <w:rFonts w:cs="Arial"/>
        </w:rPr>
        <w:t xml:space="preserve">Whilst we </w:t>
      </w:r>
      <w:r w:rsidR="007F6B26" w:rsidRPr="00882976">
        <w:rPr>
          <w:rFonts w:cs="Arial"/>
        </w:rPr>
        <w:t>cannot be certain</w:t>
      </w:r>
      <w:r w:rsidRPr="00882976">
        <w:rPr>
          <w:rFonts w:cs="Arial"/>
        </w:rPr>
        <w:t xml:space="preserve"> of the point at which funding may not cover statutory demand led services as</w:t>
      </w:r>
      <w:r w:rsidR="009113C7" w:rsidRPr="00882976">
        <w:rPr>
          <w:rFonts w:cs="Arial"/>
        </w:rPr>
        <w:t>, for example,</w:t>
      </w:r>
      <w:r w:rsidRPr="00882976">
        <w:rPr>
          <w:rFonts w:cs="Arial"/>
        </w:rPr>
        <w:t xml:space="preserve"> the resources</w:t>
      </w:r>
      <w:r w:rsidR="009113C7" w:rsidRPr="00882976">
        <w:rPr>
          <w:rFonts w:cs="Arial"/>
        </w:rPr>
        <w:t xml:space="preserve"> available to the County Council</w:t>
      </w:r>
      <w:r w:rsidRPr="00882976">
        <w:rPr>
          <w:rFonts w:cs="Arial"/>
        </w:rPr>
        <w:t xml:space="preserve"> have yet to be confirmed</w:t>
      </w:r>
      <w:r w:rsidR="009113C7" w:rsidRPr="00882976">
        <w:rPr>
          <w:rFonts w:cs="Arial"/>
        </w:rPr>
        <w:t xml:space="preserve"> for future years</w:t>
      </w:r>
      <w:r w:rsidR="00E007F5" w:rsidRPr="00882976">
        <w:rPr>
          <w:rFonts w:cs="Arial"/>
        </w:rPr>
        <w:t xml:space="preserve">, </w:t>
      </w:r>
      <w:r w:rsidRPr="00882976">
        <w:rPr>
          <w:rFonts w:cs="Arial"/>
        </w:rPr>
        <w:t xml:space="preserve">indications from </w:t>
      </w:r>
      <w:r w:rsidR="00E007F5" w:rsidRPr="00882976">
        <w:rPr>
          <w:rFonts w:cs="Arial"/>
        </w:rPr>
        <w:t xml:space="preserve">the </w:t>
      </w:r>
      <w:r w:rsidRPr="00882976">
        <w:rPr>
          <w:rFonts w:cs="Arial"/>
        </w:rPr>
        <w:t>previous base budget review tied in with the outturn position delivered in 2015/16 suggest</w:t>
      </w:r>
      <w:r w:rsidR="00E007F5" w:rsidRPr="00882976">
        <w:rPr>
          <w:rFonts w:cs="Arial"/>
        </w:rPr>
        <w:t>s</w:t>
      </w:r>
      <w:r w:rsidRPr="00882976">
        <w:rPr>
          <w:rFonts w:cs="Arial"/>
        </w:rPr>
        <w:t xml:space="preserve"> that there will be insufficient resources to cover statutory services</w:t>
      </w:r>
      <w:r w:rsidR="00135DE1">
        <w:rPr>
          <w:rFonts w:cs="Arial"/>
        </w:rPr>
        <w:t>, as they are currently delivered,</w:t>
      </w:r>
      <w:r w:rsidRPr="00882976">
        <w:rPr>
          <w:rFonts w:cs="Arial"/>
        </w:rPr>
        <w:t xml:space="preserve"> from 2018/19.</w:t>
      </w:r>
    </w:p>
    <w:p w14:paraId="0B9BA582" w14:textId="77777777" w:rsidR="003D58F1" w:rsidRPr="00882976" w:rsidRDefault="003D58F1" w:rsidP="008150B9">
      <w:pPr>
        <w:spacing w:after="0"/>
        <w:rPr>
          <w:rFonts w:cs="Arial"/>
          <w:highlight w:val="yellow"/>
        </w:rPr>
      </w:pPr>
    </w:p>
    <w:p w14:paraId="0994DE3C" w14:textId="4F063F81" w:rsidR="00FD51C5" w:rsidRPr="00882976" w:rsidRDefault="00FD51C5" w:rsidP="00FD51C5">
      <w:pPr>
        <w:tabs>
          <w:tab w:val="left" w:pos="567"/>
          <w:tab w:val="left" w:pos="1134"/>
        </w:tabs>
        <w:spacing w:after="0"/>
        <w:rPr>
          <w:rFonts w:cs="Arial"/>
        </w:rPr>
      </w:pPr>
      <w:r w:rsidRPr="00882976">
        <w:rPr>
          <w:rFonts w:cs="Arial"/>
        </w:rPr>
        <w:t xml:space="preserve">The County Council, in redesigning the services it provides to the public, faces the challenge of doing so whilst delivering </w:t>
      </w:r>
      <w:r w:rsidR="00E007F5" w:rsidRPr="00882976">
        <w:rPr>
          <w:rFonts w:cs="Arial"/>
        </w:rPr>
        <w:t xml:space="preserve">significant </w:t>
      </w:r>
      <w:r w:rsidRPr="00882976">
        <w:rPr>
          <w:rFonts w:cs="Arial"/>
        </w:rPr>
        <w:t>savings</w:t>
      </w:r>
      <w:r w:rsidR="00E007F5" w:rsidRPr="00882976">
        <w:rPr>
          <w:rFonts w:cs="Arial"/>
        </w:rPr>
        <w:t>,</w:t>
      </w:r>
      <w:r w:rsidRPr="00882976">
        <w:rPr>
          <w:rFonts w:cs="Arial"/>
        </w:rPr>
        <w:t xml:space="preserve"> over and above those already agreed </w:t>
      </w:r>
      <w:r w:rsidR="00E007F5" w:rsidRPr="00882976">
        <w:rPr>
          <w:rFonts w:cs="Arial"/>
        </w:rPr>
        <w:t>and the additional £1</w:t>
      </w:r>
      <w:r w:rsidR="00DA15D9" w:rsidRPr="00882976">
        <w:rPr>
          <w:rFonts w:cs="Arial"/>
        </w:rPr>
        <w:t>2.320</w:t>
      </w:r>
      <w:r w:rsidR="00E007F5" w:rsidRPr="00882976">
        <w:rPr>
          <w:rFonts w:cs="Arial"/>
        </w:rPr>
        <w:t xml:space="preserve">m identified in this report, </w:t>
      </w:r>
      <w:r w:rsidRPr="00882976">
        <w:rPr>
          <w:rFonts w:cs="Arial"/>
        </w:rPr>
        <w:t>of an estimated £</w:t>
      </w:r>
      <w:r w:rsidR="009113C7" w:rsidRPr="00882976">
        <w:rPr>
          <w:rFonts w:cs="Arial"/>
        </w:rPr>
        <w:t>14</w:t>
      </w:r>
      <w:r w:rsidR="00E007F5" w:rsidRPr="00882976">
        <w:rPr>
          <w:rFonts w:cs="Arial"/>
        </w:rPr>
        <w:t>2</w:t>
      </w:r>
      <w:r w:rsidRPr="00882976">
        <w:rPr>
          <w:rFonts w:cs="Arial"/>
        </w:rPr>
        <w:t xml:space="preserve">m over the next 4 years. </w:t>
      </w:r>
    </w:p>
    <w:p w14:paraId="5F167E06" w14:textId="77777777" w:rsidR="005B6A8A" w:rsidRPr="00882976" w:rsidRDefault="005B6A8A" w:rsidP="008150B9">
      <w:pPr>
        <w:tabs>
          <w:tab w:val="left" w:pos="567"/>
          <w:tab w:val="left" w:pos="1134"/>
        </w:tabs>
        <w:spacing w:after="0"/>
        <w:rPr>
          <w:rFonts w:cs="Arial"/>
          <w:highlight w:val="yellow"/>
        </w:rPr>
      </w:pPr>
    </w:p>
    <w:p w14:paraId="05AE3387" w14:textId="56E7896C" w:rsidR="006E401C" w:rsidRPr="00882976" w:rsidRDefault="006E401C" w:rsidP="006E401C">
      <w:pPr>
        <w:spacing w:after="0"/>
        <w:rPr>
          <w:rFonts w:cs="Arial"/>
        </w:rPr>
      </w:pPr>
      <w:r w:rsidRPr="00882976">
        <w:rPr>
          <w:rFonts w:cs="Arial"/>
        </w:rPr>
        <w:t>As part of the process of redesigning its services the County Council has previously explicitly recognised that it will need to utilise its reserves. Details on the reserves are detailed in the Money Matters report Appendix C.  In this report it is noted that as at 1 April 2016 the County Council had £314.647m of reserves, some of which are already committed. Including the Funding Gap identified in this report, it has been identified that there is an estimated reserves requirement of £</w:t>
      </w:r>
      <w:r w:rsidR="006B2614" w:rsidRPr="00882976">
        <w:rPr>
          <w:rFonts w:cs="Arial"/>
        </w:rPr>
        <w:t>60.350</w:t>
      </w:r>
      <w:r w:rsidRPr="00882976">
        <w:rPr>
          <w:rFonts w:cs="Arial"/>
        </w:rPr>
        <w:t xml:space="preserve">m to support the revenue budget in 2017/18.  Consequently, by 31st March 2018 it is anticipated that there will only be the </w:t>
      </w:r>
      <w:r w:rsidR="006B2614" w:rsidRPr="00882976">
        <w:rPr>
          <w:rFonts w:cs="Arial"/>
        </w:rPr>
        <w:t>£36.000m Co</w:t>
      </w:r>
      <w:r w:rsidR="00687379">
        <w:rPr>
          <w:rFonts w:cs="Arial"/>
        </w:rPr>
        <w:t>unty Fund and a residual £79.767</w:t>
      </w:r>
      <w:r w:rsidR="006B2614" w:rsidRPr="00882976">
        <w:rPr>
          <w:rFonts w:cs="Arial"/>
        </w:rPr>
        <w:t xml:space="preserve">m of service reserves which includes £8.354m school PFI expenditure and £5.084m which is not LCC money, meaning in effect </w:t>
      </w:r>
      <w:r w:rsidR="00687379">
        <w:rPr>
          <w:rFonts w:cs="Arial"/>
        </w:rPr>
        <w:t>the available balance of £66.329</w:t>
      </w:r>
      <w:r w:rsidR="006B2614" w:rsidRPr="00882976">
        <w:rPr>
          <w:rFonts w:cs="Arial"/>
        </w:rPr>
        <w:t xml:space="preserve">m. </w:t>
      </w:r>
      <w:r w:rsidRPr="00882976">
        <w:rPr>
          <w:rFonts w:cs="Arial"/>
        </w:rPr>
        <w:t xml:space="preserve">This position is a forecast dependent upon a number of key factors that are detailed within Appendix C. </w:t>
      </w:r>
    </w:p>
    <w:p w14:paraId="57867164" w14:textId="77777777" w:rsidR="00234950" w:rsidRPr="00882976" w:rsidRDefault="00234950" w:rsidP="004475E4">
      <w:pPr>
        <w:autoSpaceDE/>
        <w:autoSpaceDN/>
        <w:adjustRightInd/>
        <w:spacing w:after="0"/>
        <w:jc w:val="left"/>
        <w:rPr>
          <w:rFonts w:cs="Arial"/>
        </w:rPr>
      </w:pPr>
    </w:p>
    <w:p w14:paraId="2A105F3E" w14:textId="77777777" w:rsidR="00FA1276" w:rsidRPr="00882976" w:rsidRDefault="00FA1276" w:rsidP="00735E90">
      <w:pPr>
        <w:tabs>
          <w:tab w:val="left" w:pos="567"/>
          <w:tab w:val="left" w:pos="1134"/>
        </w:tabs>
        <w:spacing w:after="0"/>
        <w:ind w:left="360" w:hanging="360"/>
        <w:rPr>
          <w:rFonts w:cs="Arial"/>
          <w:b/>
        </w:rPr>
      </w:pPr>
    </w:p>
    <w:p w14:paraId="5122A138" w14:textId="77777777" w:rsidR="00FA1276" w:rsidRPr="00882976" w:rsidRDefault="00FA1276" w:rsidP="00735E90">
      <w:pPr>
        <w:tabs>
          <w:tab w:val="left" w:pos="567"/>
          <w:tab w:val="left" w:pos="1134"/>
        </w:tabs>
        <w:spacing w:after="0"/>
        <w:ind w:left="360" w:hanging="360"/>
        <w:rPr>
          <w:rFonts w:cs="Arial"/>
          <w:b/>
        </w:rPr>
      </w:pPr>
    </w:p>
    <w:p w14:paraId="388FB710" w14:textId="77777777" w:rsidR="00FA1276" w:rsidRPr="00882976" w:rsidRDefault="00FA1276" w:rsidP="00735E90">
      <w:pPr>
        <w:tabs>
          <w:tab w:val="left" w:pos="567"/>
          <w:tab w:val="left" w:pos="1134"/>
        </w:tabs>
        <w:spacing w:after="0"/>
        <w:ind w:left="360" w:hanging="360"/>
        <w:rPr>
          <w:rFonts w:cs="Arial"/>
          <w:b/>
        </w:rPr>
      </w:pPr>
    </w:p>
    <w:p w14:paraId="7C6EB2DB" w14:textId="77777777" w:rsidR="00FA1276" w:rsidRPr="00882976" w:rsidRDefault="00FA1276" w:rsidP="00735E90">
      <w:pPr>
        <w:tabs>
          <w:tab w:val="left" w:pos="567"/>
          <w:tab w:val="left" w:pos="1134"/>
        </w:tabs>
        <w:spacing w:after="0"/>
        <w:ind w:left="360" w:hanging="360"/>
        <w:rPr>
          <w:rFonts w:cs="Arial"/>
          <w:b/>
        </w:rPr>
      </w:pPr>
    </w:p>
    <w:p w14:paraId="3DD077CA" w14:textId="77777777" w:rsidR="00FA1276" w:rsidRPr="00882976" w:rsidRDefault="00FA1276" w:rsidP="00735E90">
      <w:pPr>
        <w:tabs>
          <w:tab w:val="left" w:pos="567"/>
          <w:tab w:val="left" w:pos="1134"/>
        </w:tabs>
        <w:spacing w:after="0"/>
        <w:ind w:left="360" w:hanging="360"/>
        <w:rPr>
          <w:rFonts w:cs="Arial"/>
          <w:b/>
        </w:rPr>
      </w:pPr>
    </w:p>
    <w:p w14:paraId="01906085" w14:textId="77777777" w:rsidR="00FA1276" w:rsidRPr="00882976" w:rsidRDefault="00FA1276" w:rsidP="00735E90">
      <w:pPr>
        <w:tabs>
          <w:tab w:val="left" w:pos="567"/>
          <w:tab w:val="left" w:pos="1134"/>
        </w:tabs>
        <w:spacing w:after="0"/>
        <w:ind w:left="360" w:hanging="360"/>
        <w:rPr>
          <w:rFonts w:cs="Arial"/>
          <w:b/>
        </w:rPr>
      </w:pPr>
    </w:p>
    <w:p w14:paraId="1AD38385" w14:textId="77777777" w:rsidR="00FA1276" w:rsidRPr="00882976" w:rsidRDefault="00FA1276" w:rsidP="00735E90">
      <w:pPr>
        <w:tabs>
          <w:tab w:val="left" w:pos="567"/>
          <w:tab w:val="left" w:pos="1134"/>
        </w:tabs>
        <w:spacing w:after="0"/>
        <w:ind w:left="360" w:hanging="360"/>
        <w:rPr>
          <w:rFonts w:cs="Arial"/>
          <w:b/>
        </w:rPr>
      </w:pPr>
    </w:p>
    <w:p w14:paraId="3F693772" w14:textId="77777777" w:rsidR="00FA1276" w:rsidRPr="00882976" w:rsidRDefault="00FA1276" w:rsidP="00735E90">
      <w:pPr>
        <w:tabs>
          <w:tab w:val="left" w:pos="567"/>
          <w:tab w:val="left" w:pos="1134"/>
        </w:tabs>
        <w:spacing w:after="0"/>
        <w:ind w:left="360" w:hanging="360"/>
        <w:rPr>
          <w:rFonts w:cs="Arial"/>
          <w:b/>
        </w:rPr>
      </w:pPr>
    </w:p>
    <w:p w14:paraId="4280E33F" w14:textId="77777777" w:rsidR="00FA1276" w:rsidRPr="00882976" w:rsidRDefault="00FA1276" w:rsidP="00735E90">
      <w:pPr>
        <w:tabs>
          <w:tab w:val="left" w:pos="567"/>
          <w:tab w:val="left" w:pos="1134"/>
        </w:tabs>
        <w:spacing w:after="0"/>
        <w:ind w:left="360" w:hanging="360"/>
        <w:rPr>
          <w:rFonts w:cs="Arial"/>
          <w:b/>
        </w:rPr>
      </w:pPr>
    </w:p>
    <w:p w14:paraId="659ACD56" w14:textId="77777777" w:rsidR="00FA1276" w:rsidRPr="00882976" w:rsidRDefault="00FA1276" w:rsidP="00735E90">
      <w:pPr>
        <w:tabs>
          <w:tab w:val="left" w:pos="567"/>
          <w:tab w:val="left" w:pos="1134"/>
        </w:tabs>
        <w:spacing w:after="0"/>
        <w:ind w:left="360" w:hanging="360"/>
        <w:rPr>
          <w:rFonts w:cs="Arial"/>
          <w:b/>
        </w:rPr>
      </w:pPr>
    </w:p>
    <w:p w14:paraId="7EC45A31" w14:textId="77777777" w:rsidR="00FA1276" w:rsidRPr="00882976" w:rsidRDefault="00FA1276" w:rsidP="00735E90">
      <w:pPr>
        <w:tabs>
          <w:tab w:val="left" w:pos="567"/>
          <w:tab w:val="left" w:pos="1134"/>
        </w:tabs>
        <w:spacing w:after="0"/>
        <w:ind w:left="360" w:hanging="360"/>
        <w:rPr>
          <w:rFonts w:cs="Arial"/>
          <w:b/>
        </w:rPr>
      </w:pPr>
    </w:p>
    <w:p w14:paraId="4DC516F7" w14:textId="77777777" w:rsidR="00FA1276" w:rsidRPr="00882976" w:rsidRDefault="00FA1276" w:rsidP="00735E90">
      <w:pPr>
        <w:tabs>
          <w:tab w:val="left" w:pos="567"/>
          <w:tab w:val="left" w:pos="1134"/>
        </w:tabs>
        <w:spacing w:after="0"/>
        <w:ind w:left="360" w:hanging="360"/>
        <w:rPr>
          <w:rFonts w:cs="Arial"/>
          <w:b/>
        </w:rPr>
      </w:pPr>
    </w:p>
    <w:p w14:paraId="1D0EE3AA" w14:textId="77777777" w:rsidR="00FA1276" w:rsidRPr="00882976" w:rsidRDefault="00FA1276" w:rsidP="00735E90">
      <w:pPr>
        <w:tabs>
          <w:tab w:val="left" w:pos="567"/>
          <w:tab w:val="left" w:pos="1134"/>
        </w:tabs>
        <w:spacing w:after="0"/>
        <w:ind w:left="360" w:hanging="360"/>
        <w:rPr>
          <w:rFonts w:cs="Arial"/>
          <w:b/>
        </w:rPr>
      </w:pPr>
    </w:p>
    <w:p w14:paraId="5F40B3BE" w14:textId="77777777" w:rsidR="00FA1276" w:rsidRDefault="00FA1276" w:rsidP="00735E90">
      <w:pPr>
        <w:tabs>
          <w:tab w:val="left" w:pos="567"/>
          <w:tab w:val="left" w:pos="1134"/>
        </w:tabs>
        <w:spacing w:after="0"/>
        <w:ind w:left="360" w:hanging="360"/>
        <w:rPr>
          <w:rFonts w:cs="Arial"/>
          <w:b/>
        </w:rPr>
      </w:pPr>
    </w:p>
    <w:p w14:paraId="794F34F2" w14:textId="77777777" w:rsidR="00CE7EE3" w:rsidRDefault="00CE7EE3" w:rsidP="00735E90">
      <w:pPr>
        <w:tabs>
          <w:tab w:val="left" w:pos="567"/>
          <w:tab w:val="left" w:pos="1134"/>
        </w:tabs>
        <w:spacing w:after="0"/>
        <w:ind w:left="360" w:hanging="360"/>
        <w:rPr>
          <w:rFonts w:cs="Arial"/>
          <w:b/>
        </w:rPr>
      </w:pPr>
    </w:p>
    <w:p w14:paraId="6EAF1CE0" w14:textId="77777777" w:rsidR="00CE7EE3" w:rsidRPr="00882976" w:rsidRDefault="00CE7EE3" w:rsidP="00735E90">
      <w:pPr>
        <w:tabs>
          <w:tab w:val="left" w:pos="567"/>
          <w:tab w:val="left" w:pos="1134"/>
        </w:tabs>
        <w:spacing w:after="0"/>
        <w:ind w:left="360" w:hanging="360"/>
        <w:rPr>
          <w:rFonts w:cs="Arial"/>
          <w:b/>
        </w:rPr>
      </w:pPr>
    </w:p>
    <w:p w14:paraId="38896B5A" w14:textId="77777777" w:rsidR="00FA1276" w:rsidRDefault="00FA1276" w:rsidP="00735E90">
      <w:pPr>
        <w:tabs>
          <w:tab w:val="left" w:pos="567"/>
          <w:tab w:val="left" w:pos="1134"/>
        </w:tabs>
        <w:spacing w:after="0"/>
        <w:ind w:left="360" w:hanging="360"/>
        <w:rPr>
          <w:rFonts w:cs="Arial"/>
          <w:b/>
        </w:rPr>
      </w:pPr>
    </w:p>
    <w:p w14:paraId="24B6F861" w14:textId="77777777" w:rsidR="0016463C" w:rsidRDefault="0016463C" w:rsidP="00735E90">
      <w:pPr>
        <w:tabs>
          <w:tab w:val="left" w:pos="567"/>
          <w:tab w:val="left" w:pos="1134"/>
        </w:tabs>
        <w:spacing w:after="0"/>
        <w:ind w:left="360" w:hanging="360"/>
        <w:rPr>
          <w:rFonts w:cs="Arial"/>
          <w:b/>
        </w:rPr>
      </w:pPr>
    </w:p>
    <w:p w14:paraId="1A63601B" w14:textId="77777777" w:rsidR="0016463C" w:rsidRDefault="0016463C" w:rsidP="00735E90">
      <w:pPr>
        <w:tabs>
          <w:tab w:val="left" w:pos="567"/>
          <w:tab w:val="left" w:pos="1134"/>
        </w:tabs>
        <w:spacing w:after="0"/>
        <w:ind w:left="360" w:hanging="360"/>
        <w:rPr>
          <w:rFonts w:cs="Arial"/>
          <w:b/>
        </w:rPr>
      </w:pPr>
    </w:p>
    <w:p w14:paraId="716AAE7E" w14:textId="77777777" w:rsidR="0016463C" w:rsidRPr="00882976" w:rsidRDefault="0016463C" w:rsidP="00735E90">
      <w:pPr>
        <w:tabs>
          <w:tab w:val="left" w:pos="567"/>
          <w:tab w:val="left" w:pos="1134"/>
        </w:tabs>
        <w:spacing w:after="0"/>
        <w:ind w:left="360" w:hanging="360"/>
        <w:rPr>
          <w:rFonts w:cs="Arial"/>
          <w:b/>
        </w:rPr>
      </w:pPr>
    </w:p>
    <w:p w14:paraId="69B47791" w14:textId="3830D70D" w:rsidR="00735E90" w:rsidRPr="00882976" w:rsidRDefault="00735E90" w:rsidP="0016463C">
      <w:pPr>
        <w:tabs>
          <w:tab w:val="left" w:pos="567"/>
          <w:tab w:val="left" w:pos="1134"/>
        </w:tabs>
        <w:spacing w:after="0"/>
        <w:ind w:left="360" w:hanging="360"/>
        <w:rPr>
          <w:rFonts w:cs="Arial"/>
          <w:b/>
        </w:rPr>
      </w:pPr>
      <w:r w:rsidRPr="00882976">
        <w:rPr>
          <w:rFonts w:cs="Arial"/>
          <w:b/>
        </w:rPr>
        <w:t>2. Resources</w:t>
      </w:r>
      <w:r w:rsidR="0016463C">
        <w:rPr>
          <w:rFonts w:cs="Arial"/>
          <w:b/>
        </w:rPr>
        <w:t xml:space="preserve">  </w:t>
      </w:r>
    </w:p>
    <w:p w14:paraId="4B5BE013" w14:textId="249BDA56" w:rsidR="00735E90" w:rsidRPr="00882976" w:rsidRDefault="00BA18AB" w:rsidP="00735E90">
      <w:pPr>
        <w:tabs>
          <w:tab w:val="left" w:pos="567"/>
          <w:tab w:val="left" w:pos="1134"/>
        </w:tabs>
        <w:spacing w:after="0"/>
        <w:rPr>
          <w:rFonts w:cs="Arial"/>
        </w:rPr>
      </w:pPr>
      <w:r w:rsidRPr="00882976">
        <w:rPr>
          <w:rFonts w:cs="Arial"/>
        </w:rPr>
        <w:t>The MTFS includes</w:t>
      </w:r>
      <w:r w:rsidR="0078440C" w:rsidRPr="00882976">
        <w:rPr>
          <w:rFonts w:cs="Arial"/>
        </w:rPr>
        <w:t xml:space="preserve"> government funding based on the Secretary of State</w:t>
      </w:r>
      <w:r w:rsidRPr="00882976">
        <w:rPr>
          <w:rFonts w:cs="Arial"/>
        </w:rPr>
        <w:t>'</w:t>
      </w:r>
      <w:r w:rsidR="0078440C" w:rsidRPr="00882976">
        <w:rPr>
          <w:rFonts w:cs="Arial"/>
        </w:rPr>
        <w:t xml:space="preserve">s proposed </w:t>
      </w:r>
      <w:r w:rsidR="004C00D2" w:rsidRPr="00882976">
        <w:rPr>
          <w:rFonts w:cs="Arial"/>
        </w:rPr>
        <w:t>allocations</w:t>
      </w:r>
      <w:r w:rsidR="0078440C" w:rsidRPr="00882976">
        <w:rPr>
          <w:rFonts w:cs="Arial"/>
        </w:rPr>
        <w:t xml:space="preserve"> up to 2019/20. </w:t>
      </w:r>
    </w:p>
    <w:p w14:paraId="74062041" w14:textId="77777777" w:rsidR="00FA1276" w:rsidRPr="00882976" w:rsidRDefault="00FA1276" w:rsidP="009F2DD7">
      <w:pPr>
        <w:rPr>
          <w:rFonts w:cs="Arial"/>
        </w:rPr>
      </w:pPr>
    </w:p>
    <w:p w14:paraId="63645959" w14:textId="37023C40" w:rsidR="009F2DD7" w:rsidRPr="00882976" w:rsidRDefault="00FB7167" w:rsidP="009F2DD7">
      <w:pPr>
        <w:rPr>
          <w:rFonts w:cs="Arial"/>
        </w:rPr>
      </w:pPr>
      <w:r w:rsidRPr="00882976">
        <w:rPr>
          <w:rFonts w:cs="Arial"/>
        </w:rPr>
        <w:t>The MTFS approved by Cabinet in September 2016 included the following forecast resources</w:t>
      </w:r>
      <w:r w:rsidR="009F2DD7" w:rsidRPr="00882976">
        <w:rPr>
          <w:rFonts w:cs="Arial"/>
        </w:rPr>
        <w:t>:</w:t>
      </w:r>
    </w:p>
    <w:tbl>
      <w:tblPr>
        <w:tblStyle w:val="TableGrid"/>
        <w:tblW w:w="0" w:type="auto"/>
        <w:jc w:val="center"/>
        <w:tblLayout w:type="fixed"/>
        <w:tblLook w:val="04A0" w:firstRow="1" w:lastRow="0" w:firstColumn="1" w:lastColumn="0" w:noHBand="0" w:noVBand="1"/>
      </w:tblPr>
      <w:tblGrid>
        <w:gridCol w:w="3114"/>
        <w:gridCol w:w="1284"/>
        <w:gridCol w:w="1284"/>
        <w:gridCol w:w="1284"/>
        <w:gridCol w:w="1284"/>
      </w:tblGrid>
      <w:tr w:rsidR="009F2DD7" w:rsidRPr="00882976" w14:paraId="65ED46C6" w14:textId="77777777" w:rsidTr="00AC67F1">
        <w:trPr>
          <w:trHeight w:val="593"/>
          <w:jc w:val="center"/>
        </w:trPr>
        <w:tc>
          <w:tcPr>
            <w:tcW w:w="3114" w:type="dxa"/>
            <w:shd w:val="clear" w:color="auto" w:fill="BFBFBF" w:themeFill="background1" w:themeFillShade="BF"/>
            <w:vAlign w:val="center"/>
          </w:tcPr>
          <w:p w14:paraId="6220C202" w14:textId="77777777" w:rsidR="009F2DD7" w:rsidRPr="00882976" w:rsidRDefault="009F2DD7" w:rsidP="00AC67F1">
            <w:pPr>
              <w:pStyle w:val="NoSpacing"/>
              <w:jc w:val="both"/>
              <w:rPr>
                <w:rFonts w:cs="Arial"/>
                <w:szCs w:val="24"/>
              </w:rPr>
            </w:pPr>
          </w:p>
        </w:tc>
        <w:tc>
          <w:tcPr>
            <w:tcW w:w="1284" w:type="dxa"/>
            <w:shd w:val="clear" w:color="auto" w:fill="BFBFBF" w:themeFill="background1" w:themeFillShade="BF"/>
            <w:vAlign w:val="center"/>
          </w:tcPr>
          <w:p w14:paraId="1DBFC489" w14:textId="77777777" w:rsidR="009F2DD7" w:rsidRPr="00882976" w:rsidRDefault="009F2DD7" w:rsidP="00AC67F1">
            <w:pPr>
              <w:pStyle w:val="NoSpacing"/>
              <w:jc w:val="center"/>
              <w:rPr>
                <w:rFonts w:cs="Arial"/>
                <w:b/>
                <w:szCs w:val="24"/>
              </w:rPr>
            </w:pPr>
            <w:r w:rsidRPr="00882976">
              <w:rPr>
                <w:rFonts w:cs="Arial"/>
                <w:b/>
                <w:szCs w:val="24"/>
              </w:rPr>
              <w:t>2017/18</w:t>
            </w:r>
          </w:p>
          <w:p w14:paraId="60E36E45" w14:textId="77777777" w:rsidR="009F2DD7" w:rsidRPr="00882976" w:rsidRDefault="009F2DD7" w:rsidP="00AC67F1">
            <w:pPr>
              <w:pStyle w:val="NoSpacing"/>
              <w:jc w:val="center"/>
              <w:rPr>
                <w:rFonts w:cs="Arial"/>
                <w:b/>
                <w:szCs w:val="24"/>
              </w:rPr>
            </w:pPr>
            <w:r w:rsidRPr="00882976">
              <w:rPr>
                <w:rFonts w:cs="Arial"/>
                <w:b/>
                <w:szCs w:val="24"/>
              </w:rPr>
              <w:t>£m</w:t>
            </w:r>
          </w:p>
        </w:tc>
        <w:tc>
          <w:tcPr>
            <w:tcW w:w="1284" w:type="dxa"/>
            <w:shd w:val="clear" w:color="auto" w:fill="BFBFBF" w:themeFill="background1" w:themeFillShade="BF"/>
            <w:vAlign w:val="center"/>
          </w:tcPr>
          <w:p w14:paraId="100A373E" w14:textId="77777777" w:rsidR="009F2DD7" w:rsidRPr="00882976" w:rsidRDefault="009F2DD7" w:rsidP="00AC67F1">
            <w:pPr>
              <w:pStyle w:val="NoSpacing"/>
              <w:jc w:val="center"/>
              <w:rPr>
                <w:rFonts w:cs="Arial"/>
                <w:b/>
                <w:szCs w:val="24"/>
              </w:rPr>
            </w:pPr>
            <w:r w:rsidRPr="00882976">
              <w:rPr>
                <w:rFonts w:cs="Arial"/>
                <w:b/>
                <w:szCs w:val="24"/>
              </w:rPr>
              <w:t>2018/19</w:t>
            </w:r>
          </w:p>
          <w:p w14:paraId="72F607C2" w14:textId="77777777" w:rsidR="009F2DD7" w:rsidRPr="00882976" w:rsidRDefault="009F2DD7" w:rsidP="00AC67F1">
            <w:pPr>
              <w:pStyle w:val="NoSpacing"/>
              <w:jc w:val="center"/>
              <w:rPr>
                <w:rFonts w:cs="Arial"/>
                <w:b/>
                <w:szCs w:val="24"/>
              </w:rPr>
            </w:pPr>
            <w:r w:rsidRPr="00882976">
              <w:rPr>
                <w:rFonts w:cs="Arial"/>
                <w:b/>
                <w:szCs w:val="24"/>
              </w:rPr>
              <w:t>£m</w:t>
            </w:r>
          </w:p>
        </w:tc>
        <w:tc>
          <w:tcPr>
            <w:tcW w:w="1284" w:type="dxa"/>
            <w:shd w:val="clear" w:color="auto" w:fill="BFBFBF" w:themeFill="background1" w:themeFillShade="BF"/>
            <w:vAlign w:val="center"/>
          </w:tcPr>
          <w:p w14:paraId="63948D31" w14:textId="77777777" w:rsidR="009F2DD7" w:rsidRPr="00882976" w:rsidRDefault="009F2DD7" w:rsidP="00AC67F1">
            <w:pPr>
              <w:pStyle w:val="NoSpacing"/>
              <w:jc w:val="center"/>
              <w:rPr>
                <w:rFonts w:cs="Arial"/>
                <w:b/>
                <w:szCs w:val="24"/>
              </w:rPr>
            </w:pPr>
            <w:r w:rsidRPr="00882976">
              <w:rPr>
                <w:rFonts w:cs="Arial"/>
                <w:b/>
                <w:szCs w:val="24"/>
              </w:rPr>
              <w:t>2019/20</w:t>
            </w:r>
          </w:p>
          <w:p w14:paraId="54F98A69" w14:textId="77777777" w:rsidR="009F2DD7" w:rsidRPr="00882976" w:rsidRDefault="009F2DD7" w:rsidP="00AC67F1">
            <w:pPr>
              <w:pStyle w:val="NoSpacing"/>
              <w:jc w:val="center"/>
              <w:rPr>
                <w:rFonts w:cs="Arial"/>
                <w:b/>
                <w:szCs w:val="24"/>
              </w:rPr>
            </w:pPr>
            <w:r w:rsidRPr="00882976">
              <w:rPr>
                <w:rFonts w:cs="Arial"/>
                <w:b/>
                <w:szCs w:val="24"/>
              </w:rPr>
              <w:t>£m</w:t>
            </w:r>
          </w:p>
        </w:tc>
        <w:tc>
          <w:tcPr>
            <w:tcW w:w="1284" w:type="dxa"/>
            <w:shd w:val="clear" w:color="auto" w:fill="BFBFBF" w:themeFill="background1" w:themeFillShade="BF"/>
            <w:vAlign w:val="center"/>
          </w:tcPr>
          <w:p w14:paraId="043FB06B" w14:textId="77777777" w:rsidR="009F2DD7" w:rsidRPr="00882976" w:rsidRDefault="009F2DD7" w:rsidP="00AC67F1">
            <w:pPr>
              <w:pStyle w:val="NoSpacing"/>
              <w:jc w:val="center"/>
              <w:rPr>
                <w:rFonts w:cs="Arial"/>
                <w:b/>
                <w:szCs w:val="24"/>
              </w:rPr>
            </w:pPr>
            <w:r w:rsidRPr="00882976">
              <w:rPr>
                <w:rFonts w:cs="Arial"/>
                <w:b/>
                <w:szCs w:val="24"/>
              </w:rPr>
              <w:t>2020/21</w:t>
            </w:r>
          </w:p>
          <w:p w14:paraId="1A5FBD49" w14:textId="77777777" w:rsidR="009F2DD7" w:rsidRPr="00882976" w:rsidRDefault="009F2DD7" w:rsidP="00AC67F1">
            <w:pPr>
              <w:pStyle w:val="NoSpacing"/>
              <w:jc w:val="center"/>
              <w:rPr>
                <w:rFonts w:cs="Arial"/>
                <w:b/>
                <w:szCs w:val="24"/>
              </w:rPr>
            </w:pPr>
            <w:r w:rsidRPr="00882976">
              <w:rPr>
                <w:rFonts w:cs="Arial"/>
                <w:b/>
                <w:szCs w:val="24"/>
              </w:rPr>
              <w:t>£m</w:t>
            </w:r>
          </w:p>
        </w:tc>
      </w:tr>
      <w:tr w:rsidR="009F2DD7" w:rsidRPr="00882976" w14:paraId="3B4F7054" w14:textId="77777777" w:rsidTr="00AC67F1">
        <w:trPr>
          <w:trHeight w:val="552"/>
          <w:jc w:val="center"/>
        </w:trPr>
        <w:tc>
          <w:tcPr>
            <w:tcW w:w="3114" w:type="dxa"/>
            <w:vAlign w:val="center"/>
          </w:tcPr>
          <w:p w14:paraId="5AC10F0B" w14:textId="77777777" w:rsidR="009F2DD7" w:rsidRPr="00882976" w:rsidRDefault="009F2DD7" w:rsidP="00AC67F1">
            <w:pPr>
              <w:pStyle w:val="NoSpacing"/>
              <w:spacing w:line="276" w:lineRule="auto"/>
              <w:rPr>
                <w:rFonts w:cs="Arial"/>
                <w:szCs w:val="24"/>
              </w:rPr>
            </w:pPr>
            <w:r w:rsidRPr="00882976">
              <w:rPr>
                <w:rFonts w:cs="Arial"/>
                <w:szCs w:val="24"/>
              </w:rPr>
              <w:t>Revenue Support Grant</w:t>
            </w:r>
          </w:p>
        </w:tc>
        <w:tc>
          <w:tcPr>
            <w:tcW w:w="1284" w:type="dxa"/>
            <w:vAlign w:val="center"/>
          </w:tcPr>
          <w:p w14:paraId="3B6AEF2A" w14:textId="77777777" w:rsidR="009F2DD7" w:rsidRPr="00882976" w:rsidRDefault="009F2DD7" w:rsidP="00AC67F1">
            <w:pPr>
              <w:pStyle w:val="NoSpacing"/>
              <w:spacing w:line="276" w:lineRule="auto"/>
              <w:jc w:val="right"/>
              <w:rPr>
                <w:rFonts w:cs="Arial"/>
                <w:szCs w:val="24"/>
              </w:rPr>
            </w:pPr>
            <w:r w:rsidRPr="00882976">
              <w:rPr>
                <w:rFonts w:cs="Arial"/>
                <w:szCs w:val="24"/>
              </w:rPr>
              <w:t>81.508</w:t>
            </w:r>
          </w:p>
        </w:tc>
        <w:tc>
          <w:tcPr>
            <w:tcW w:w="1284" w:type="dxa"/>
            <w:vAlign w:val="center"/>
          </w:tcPr>
          <w:p w14:paraId="1065F3C1" w14:textId="77777777" w:rsidR="009F2DD7" w:rsidRPr="00882976" w:rsidRDefault="009F2DD7" w:rsidP="00AC67F1">
            <w:pPr>
              <w:pStyle w:val="NoSpacing"/>
              <w:spacing w:line="276" w:lineRule="auto"/>
              <w:jc w:val="right"/>
              <w:rPr>
                <w:rFonts w:cs="Arial"/>
                <w:szCs w:val="24"/>
              </w:rPr>
            </w:pPr>
            <w:r w:rsidRPr="00882976">
              <w:rPr>
                <w:rFonts w:cs="Arial"/>
                <w:szCs w:val="24"/>
              </w:rPr>
              <w:t>56.979</w:t>
            </w:r>
          </w:p>
        </w:tc>
        <w:tc>
          <w:tcPr>
            <w:tcW w:w="1284" w:type="dxa"/>
            <w:vAlign w:val="center"/>
          </w:tcPr>
          <w:p w14:paraId="3244F042" w14:textId="77777777" w:rsidR="009F2DD7" w:rsidRPr="00882976" w:rsidRDefault="009F2DD7" w:rsidP="00AC67F1">
            <w:pPr>
              <w:pStyle w:val="NoSpacing"/>
              <w:spacing w:line="276" w:lineRule="auto"/>
              <w:jc w:val="right"/>
              <w:rPr>
                <w:rFonts w:cs="Arial"/>
                <w:szCs w:val="24"/>
              </w:rPr>
            </w:pPr>
            <w:r w:rsidRPr="00882976">
              <w:rPr>
                <w:rFonts w:cs="Arial"/>
                <w:szCs w:val="24"/>
              </w:rPr>
              <w:t>32.894</w:t>
            </w:r>
          </w:p>
        </w:tc>
        <w:tc>
          <w:tcPr>
            <w:tcW w:w="1284" w:type="dxa"/>
            <w:vAlign w:val="center"/>
          </w:tcPr>
          <w:p w14:paraId="19C1CFD9" w14:textId="77777777" w:rsidR="009F2DD7" w:rsidRPr="00882976" w:rsidRDefault="009F2DD7" w:rsidP="00AC67F1">
            <w:pPr>
              <w:pStyle w:val="NoSpacing"/>
              <w:spacing w:line="276" w:lineRule="auto"/>
              <w:jc w:val="right"/>
              <w:rPr>
                <w:rFonts w:cs="Arial"/>
                <w:szCs w:val="24"/>
              </w:rPr>
            </w:pPr>
            <w:r w:rsidRPr="00882976">
              <w:rPr>
                <w:rFonts w:cs="Arial"/>
                <w:szCs w:val="24"/>
              </w:rPr>
              <w:t>26.928</w:t>
            </w:r>
          </w:p>
        </w:tc>
      </w:tr>
      <w:tr w:rsidR="009F2DD7" w:rsidRPr="00882976" w14:paraId="69F7397E" w14:textId="77777777" w:rsidTr="00AC67F1">
        <w:trPr>
          <w:trHeight w:val="552"/>
          <w:jc w:val="center"/>
        </w:trPr>
        <w:tc>
          <w:tcPr>
            <w:tcW w:w="3114" w:type="dxa"/>
            <w:vAlign w:val="center"/>
          </w:tcPr>
          <w:p w14:paraId="71951EB4" w14:textId="77777777" w:rsidR="009F2DD7" w:rsidRPr="00882976" w:rsidRDefault="009F2DD7" w:rsidP="00AC67F1">
            <w:pPr>
              <w:pStyle w:val="NoSpacing"/>
              <w:spacing w:line="276" w:lineRule="auto"/>
              <w:rPr>
                <w:rFonts w:cs="Arial"/>
                <w:szCs w:val="24"/>
              </w:rPr>
            </w:pPr>
            <w:r w:rsidRPr="00882976">
              <w:rPr>
                <w:rFonts w:cs="Arial"/>
                <w:szCs w:val="24"/>
              </w:rPr>
              <w:t>Business Rates</w:t>
            </w:r>
          </w:p>
        </w:tc>
        <w:tc>
          <w:tcPr>
            <w:tcW w:w="1284" w:type="dxa"/>
            <w:vAlign w:val="center"/>
          </w:tcPr>
          <w:p w14:paraId="00C7D794" w14:textId="4CD6BC27" w:rsidR="009F2DD7" w:rsidRPr="00882976" w:rsidRDefault="00FB7167" w:rsidP="00AC67F1">
            <w:pPr>
              <w:pStyle w:val="NoSpacing"/>
              <w:spacing w:line="276" w:lineRule="auto"/>
              <w:jc w:val="right"/>
              <w:rPr>
                <w:rFonts w:cs="Arial"/>
                <w:szCs w:val="24"/>
              </w:rPr>
            </w:pPr>
            <w:r w:rsidRPr="00882976">
              <w:rPr>
                <w:rFonts w:cs="Arial"/>
                <w:szCs w:val="24"/>
              </w:rPr>
              <w:t>180.861</w:t>
            </w:r>
          </w:p>
        </w:tc>
        <w:tc>
          <w:tcPr>
            <w:tcW w:w="1284" w:type="dxa"/>
            <w:vAlign w:val="center"/>
          </w:tcPr>
          <w:p w14:paraId="0DA609BB" w14:textId="73A7C8B6" w:rsidR="009F2DD7" w:rsidRPr="00882976" w:rsidRDefault="00FB7167" w:rsidP="00AC67F1">
            <w:pPr>
              <w:pStyle w:val="NoSpacing"/>
              <w:spacing w:line="276" w:lineRule="auto"/>
              <w:jc w:val="right"/>
              <w:rPr>
                <w:rFonts w:cs="Arial"/>
                <w:szCs w:val="24"/>
              </w:rPr>
            </w:pPr>
            <w:r w:rsidRPr="00882976">
              <w:rPr>
                <w:rFonts w:cs="Arial"/>
                <w:szCs w:val="24"/>
              </w:rPr>
              <w:t>186.141</w:t>
            </w:r>
          </w:p>
        </w:tc>
        <w:tc>
          <w:tcPr>
            <w:tcW w:w="1284" w:type="dxa"/>
            <w:vAlign w:val="center"/>
          </w:tcPr>
          <w:p w14:paraId="35D010EB" w14:textId="56D084FD" w:rsidR="009F2DD7" w:rsidRPr="00882976" w:rsidRDefault="00FB7167" w:rsidP="00AC67F1">
            <w:pPr>
              <w:pStyle w:val="NoSpacing"/>
              <w:spacing w:line="276" w:lineRule="auto"/>
              <w:jc w:val="right"/>
              <w:rPr>
                <w:rFonts w:cs="Arial"/>
                <w:szCs w:val="24"/>
              </w:rPr>
            </w:pPr>
            <w:r w:rsidRPr="00882976">
              <w:rPr>
                <w:rFonts w:cs="Arial"/>
                <w:szCs w:val="24"/>
              </w:rPr>
              <w:t>192.038</w:t>
            </w:r>
          </w:p>
        </w:tc>
        <w:tc>
          <w:tcPr>
            <w:tcW w:w="1284" w:type="dxa"/>
            <w:vAlign w:val="center"/>
          </w:tcPr>
          <w:p w14:paraId="0A25DF61" w14:textId="1DEBA496" w:rsidR="009F2DD7" w:rsidRPr="00882976" w:rsidRDefault="00FB7167" w:rsidP="00AC67F1">
            <w:pPr>
              <w:pStyle w:val="NoSpacing"/>
              <w:spacing w:line="276" w:lineRule="auto"/>
              <w:jc w:val="right"/>
              <w:rPr>
                <w:rFonts w:cs="Arial"/>
                <w:szCs w:val="24"/>
              </w:rPr>
            </w:pPr>
            <w:r w:rsidRPr="00882976">
              <w:rPr>
                <w:rFonts w:cs="Arial"/>
                <w:szCs w:val="24"/>
              </w:rPr>
              <w:t>197.255</w:t>
            </w:r>
          </w:p>
        </w:tc>
      </w:tr>
      <w:tr w:rsidR="009F2DD7" w:rsidRPr="00882976" w14:paraId="5D5C0E30" w14:textId="77777777" w:rsidTr="00AC67F1">
        <w:trPr>
          <w:trHeight w:val="552"/>
          <w:jc w:val="center"/>
        </w:trPr>
        <w:tc>
          <w:tcPr>
            <w:tcW w:w="3114" w:type="dxa"/>
            <w:vAlign w:val="center"/>
          </w:tcPr>
          <w:p w14:paraId="4C658BE3" w14:textId="77777777" w:rsidR="009F2DD7" w:rsidRPr="00882976" w:rsidRDefault="009F2DD7" w:rsidP="00AC67F1">
            <w:pPr>
              <w:pStyle w:val="NoSpacing"/>
              <w:spacing w:line="276" w:lineRule="auto"/>
              <w:rPr>
                <w:rFonts w:cs="Arial"/>
                <w:szCs w:val="24"/>
              </w:rPr>
            </w:pPr>
            <w:r w:rsidRPr="00882976">
              <w:rPr>
                <w:rFonts w:cs="Arial"/>
                <w:szCs w:val="24"/>
              </w:rPr>
              <w:t>Council Tax</w:t>
            </w:r>
          </w:p>
        </w:tc>
        <w:tc>
          <w:tcPr>
            <w:tcW w:w="1284" w:type="dxa"/>
            <w:vAlign w:val="center"/>
          </w:tcPr>
          <w:p w14:paraId="6EB459A1" w14:textId="0496580D" w:rsidR="009F2DD7" w:rsidRPr="00882976" w:rsidRDefault="00FB7167" w:rsidP="00AC67F1">
            <w:pPr>
              <w:pStyle w:val="NoSpacing"/>
              <w:spacing w:line="276" w:lineRule="auto"/>
              <w:jc w:val="right"/>
              <w:rPr>
                <w:rFonts w:cs="Arial"/>
                <w:szCs w:val="24"/>
              </w:rPr>
            </w:pPr>
            <w:r w:rsidRPr="00882976">
              <w:rPr>
                <w:rFonts w:cs="Arial"/>
                <w:szCs w:val="24"/>
              </w:rPr>
              <w:t>430.627</w:t>
            </w:r>
          </w:p>
        </w:tc>
        <w:tc>
          <w:tcPr>
            <w:tcW w:w="1284" w:type="dxa"/>
            <w:vAlign w:val="center"/>
          </w:tcPr>
          <w:p w14:paraId="17DF7159" w14:textId="5BF9E89D" w:rsidR="009F2DD7" w:rsidRPr="00882976" w:rsidRDefault="00FB7167" w:rsidP="00AC67F1">
            <w:pPr>
              <w:pStyle w:val="NoSpacing"/>
              <w:spacing w:line="276" w:lineRule="auto"/>
              <w:jc w:val="right"/>
              <w:rPr>
                <w:rFonts w:cs="Arial"/>
                <w:szCs w:val="24"/>
              </w:rPr>
            </w:pPr>
            <w:r w:rsidRPr="00882976">
              <w:rPr>
                <w:rFonts w:cs="Arial"/>
                <w:szCs w:val="24"/>
              </w:rPr>
              <w:t>452.288</w:t>
            </w:r>
          </w:p>
        </w:tc>
        <w:tc>
          <w:tcPr>
            <w:tcW w:w="1284" w:type="dxa"/>
            <w:vAlign w:val="center"/>
          </w:tcPr>
          <w:p w14:paraId="720C208C" w14:textId="3F8737E9" w:rsidR="009F2DD7" w:rsidRPr="00882976" w:rsidRDefault="00FB7167" w:rsidP="00AC67F1">
            <w:pPr>
              <w:pStyle w:val="NoSpacing"/>
              <w:spacing w:line="276" w:lineRule="auto"/>
              <w:jc w:val="right"/>
              <w:rPr>
                <w:rFonts w:cs="Arial"/>
                <w:szCs w:val="24"/>
              </w:rPr>
            </w:pPr>
            <w:r w:rsidRPr="00882976">
              <w:rPr>
                <w:rFonts w:cs="Arial"/>
                <w:szCs w:val="24"/>
              </w:rPr>
              <w:t>475.036</w:t>
            </w:r>
          </w:p>
        </w:tc>
        <w:tc>
          <w:tcPr>
            <w:tcW w:w="1284" w:type="dxa"/>
            <w:vAlign w:val="center"/>
          </w:tcPr>
          <w:p w14:paraId="5649840F" w14:textId="517EDC66" w:rsidR="009F2DD7" w:rsidRPr="00882976" w:rsidRDefault="00FB7167" w:rsidP="00AC67F1">
            <w:pPr>
              <w:pStyle w:val="NoSpacing"/>
              <w:spacing w:line="276" w:lineRule="auto"/>
              <w:jc w:val="right"/>
              <w:rPr>
                <w:rFonts w:cs="Arial"/>
                <w:szCs w:val="24"/>
              </w:rPr>
            </w:pPr>
            <w:r w:rsidRPr="00882976">
              <w:rPr>
                <w:rFonts w:cs="Arial"/>
                <w:szCs w:val="24"/>
              </w:rPr>
              <w:t>498.932</w:t>
            </w:r>
          </w:p>
        </w:tc>
      </w:tr>
      <w:tr w:rsidR="009F2DD7" w:rsidRPr="00882976" w14:paraId="3907767A" w14:textId="77777777" w:rsidTr="00AC67F1">
        <w:trPr>
          <w:trHeight w:val="552"/>
          <w:jc w:val="center"/>
        </w:trPr>
        <w:tc>
          <w:tcPr>
            <w:tcW w:w="3114" w:type="dxa"/>
            <w:vAlign w:val="center"/>
          </w:tcPr>
          <w:p w14:paraId="2F992001" w14:textId="77777777" w:rsidR="009F2DD7" w:rsidRPr="00882976" w:rsidRDefault="009F2DD7" w:rsidP="00AC67F1">
            <w:pPr>
              <w:pStyle w:val="NoSpacing"/>
              <w:spacing w:line="276" w:lineRule="auto"/>
              <w:rPr>
                <w:rFonts w:cs="Arial"/>
                <w:szCs w:val="24"/>
              </w:rPr>
            </w:pPr>
            <w:r w:rsidRPr="00882976">
              <w:rPr>
                <w:rFonts w:cs="Arial"/>
                <w:szCs w:val="24"/>
              </w:rPr>
              <w:t>New Homes Bonus</w:t>
            </w:r>
          </w:p>
        </w:tc>
        <w:tc>
          <w:tcPr>
            <w:tcW w:w="1284" w:type="dxa"/>
            <w:vAlign w:val="center"/>
          </w:tcPr>
          <w:p w14:paraId="206D94AA" w14:textId="77777777" w:rsidR="009F2DD7" w:rsidRPr="00882976" w:rsidRDefault="009F2DD7" w:rsidP="00AC67F1">
            <w:pPr>
              <w:pStyle w:val="NoSpacing"/>
              <w:spacing w:line="276" w:lineRule="auto"/>
              <w:jc w:val="right"/>
              <w:rPr>
                <w:rFonts w:cs="Arial"/>
                <w:szCs w:val="24"/>
              </w:rPr>
            </w:pPr>
            <w:r w:rsidRPr="00882976">
              <w:rPr>
                <w:rFonts w:cs="Arial"/>
                <w:szCs w:val="24"/>
              </w:rPr>
              <w:t>5.530</w:t>
            </w:r>
          </w:p>
        </w:tc>
        <w:tc>
          <w:tcPr>
            <w:tcW w:w="1284" w:type="dxa"/>
            <w:vAlign w:val="center"/>
          </w:tcPr>
          <w:p w14:paraId="26ED107B" w14:textId="77777777" w:rsidR="009F2DD7" w:rsidRPr="00882976" w:rsidRDefault="009F2DD7" w:rsidP="00AC67F1">
            <w:pPr>
              <w:pStyle w:val="NoSpacing"/>
              <w:spacing w:line="276" w:lineRule="auto"/>
              <w:jc w:val="right"/>
              <w:rPr>
                <w:rFonts w:cs="Arial"/>
                <w:szCs w:val="24"/>
              </w:rPr>
            </w:pPr>
            <w:r w:rsidRPr="00882976">
              <w:rPr>
                <w:rFonts w:cs="Arial"/>
                <w:szCs w:val="24"/>
              </w:rPr>
              <w:t>3.475</w:t>
            </w:r>
          </w:p>
        </w:tc>
        <w:tc>
          <w:tcPr>
            <w:tcW w:w="1284" w:type="dxa"/>
            <w:vAlign w:val="center"/>
          </w:tcPr>
          <w:p w14:paraId="6F9E068A" w14:textId="77777777" w:rsidR="009F2DD7" w:rsidRPr="00882976" w:rsidRDefault="009F2DD7" w:rsidP="00AC67F1">
            <w:pPr>
              <w:pStyle w:val="NoSpacing"/>
              <w:spacing w:line="276" w:lineRule="auto"/>
              <w:jc w:val="right"/>
              <w:rPr>
                <w:rFonts w:cs="Arial"/>
                <w:szCs w:val="24"/>
              </w:rPr>
            </w:pPr>
            <w:r w:rsidRPr="00882976">
              <w:rPr>
                <w:rFonts w:cs="Arial"/>
                <w:szCs w:val="24"/>
              </w:rPr>
              <w:t>3.334</w:t>
            </w:r>
          </w:p>
        </w:tc>
        <w:tc>
          <w:tcPr>
            <w:tcW w:w="1284" w:type="dxa"/>
            <w:vAlign w:val="center"/>
          </w:tcPr>
          <w:p w14:paraId="1C6DBD64" w14:textId="77777777" w:rsidR="009F2DD7" w:rsidRPr="00882976" w:rsidRDefault="009F2DD7" w:rsidP="00AC67F1">
            <w:pPr>
              <w:pStyle w:val="NoSpacing"/>
              <w:spacing w:line="276" w:lineRule="auto"/>
              <w:jc w:val="right"/>
              <w:rPr>
                <w:rFonts w:cs="Arial"/>
                <w:szCs w:val="24"/>
              </w:rPr>
            </w:pPr>
            <w:r w:rsidRPr="00882976">
              <w:rPr>
                <w:rFonts w:cs="Arial"/>
                <w:szCs w:val="24"/>
              </w:rPr>
              <w:t>3.334</w:t>
            </w:r>
          </w:p>
        </w:tc>
      </w:tr>
      <w:tr w:rsidR="009F2DD7" w:rsidRPr="00882976" w14:paraId="681DA1BA" w14:textId="77777777" w:rsidTr="00AC67F1">
        <w:trPr>
          <w:trHeight w:val="552"/>
          <w:jc w:val="center"/>
        </w:trPr>
        <w:tc>
          <w:tcPr>
            <w:tcW w:w="3114" w:type="dxa"/>
            <w:vAlign w:val="center"/>
          </w:tcPr>
          <w:p w14:paraId="6E58F54B" w14:textId="77777777" w:rsidR="009F2DD7" w:rsidRPr="00882976" w:rsidRDefault="009F2DD7" w:rsidP="00AC67F1">
            <w:pPr>
              <w:pStyle w:val="NoSpacing"/>
              <w:spacing w:line="276" w:lineRule="auto"/>
              <w:rPr>
                <w:rFonts w:cs="Arial"/>
                <w:szCs w:val="24"/>
              </w:rPr>
            </w:pPr>
            <w:r w:rsidRPr="00882976">
              <w:rPr>
                <w:rFonts w:cs="Arial"/>
                <w:szCs w:val="24"/>
              </w:rPr>
              <w:t>Better Care Fund</w:t>
            </w:r>
          </w:p>
        </w:tc>
        <w:tc>
          <w:tcPr>
            <w:tcW w:w="1284" w:type="dxa"/>
            <w:vAlign w:val="center"/>
          </w:tcPr>
          <w:p w14:paraId="65C72951" w14:textId="77777777" w:rsidR="009F2DD7" w:rsidRPr="00882976" w:rsidRDefault="009F2DD7" w:rsidP="00AC67F1">
            <w:pPr>
              <w:pStyle w:val="NoSpacing"/>
              <w:spacing w:line="276" w:lineRule="auto"/>
              <w:jc w:val="right"/>
              <w:rPr>
                <w:rFonts w:cs="Arial"/>
                <w:szCs w:val="24"/>
              </w:rPr>
            </w:pPr>
            <w:r w:rsidRPr="00882976">
              <w:rPr>
                <w:rFonts w:cs="Arial"/>
                <w:szCs w:val="24"/>
              </w:rPr>
              <w:t>3.210</w:t>
            </w:r>
          </w:p>
        </w:tc>
        <w:tc>
          <w:tcPr>
            <w:tcW w:w="1284" w:type="dxa"/>
            <w:vAlign w:val="center"/>
          </w:tcPr>
          <w:p w14:paraId="2488F7FF" w14:textId="77777777" w:rsidR="009F2DD7" w:rsidRPr="00882976" w:rsidRDefault="009F2DD7" w:rsidP="00AC67F1">
            <w:pPr>
              <w:pStyle w:val="NoSpacing"/>
              <w:spacing w:line="276" w:lineRule="auto"/>
              <w:jc w:val="right"/>
              <w:rPr>
                <w:rFonts w:cs="Arial"/>
                <w:szCs w:val="24"/>
              </w:rPr>
            </w:pPr>
            <w:r w:rsidRPr="00882976">
              <w:rPr>
                <w:rFonts w:cs="Arial"/>
                <w:szCs w:val="24"/>
              </w:rPr>
              <w:t>22.656</w:t>
            </w:r>
          </w:p>
        </w:tc>
        <w:tc>
          <w:tcPr>
            <w:tcW w:w="1284" w:type="dxa"/>
            <w:vAlign w:val="center"/>
          </w:tcPr>
          <w:p w14:paraId="359EB6DF" w14:textId="77777777" w:rsidR="009F2DD7" w:rsidRPr="00882976" w:rsidRDefault="009F2DD7" w:rsidP="00AC67F1">
            <w:pPr>
              <w:pStyle w:val="NoSpacing"/>
              <w:spacing w:line="276" w:lineRule="auto"/>
              <w:jc w:val="right"/>
              <w:rPr>
                <w:rFonts w:cs="Arial"/>
                <w:szCs w:val="24"/>
              </w:rPr>
            </w:pPr>
            <w:r w:rsidRPr="00882976">
              <w:rPr>
                <w:rFonts w:cs="Arial"/>
                <w:szCs w:val="24"/>
              </w:rPr>
              <w:t>40.014</w:t>
            </w:r>
          </w:p>
        </w:tc>
        <w:tc>
          <w:tcPr>
            <w:tcW w:w="1284" w:type="dxa"/>
            <w:vAlign w:val="center"/>
          </w:tcPr>
          <w:p w14:paraId="24DA5C8F" w14:textId="77777777" w:rsidR="009F2DD7" w:rsidRPr="00882976" w:rsidRDefault="009F2DD7" w:rsidP="00AC67F1">
            <w:pPr>
              <w:pStyle w:val="NoSpacing"/>
              <w:spacing w:line="276" w:lineRule="auto"/>
              <w:jc w:val="right"/>
              <w:rPr>
                <w:rFonts w:cs="Arial"/>
                <w:szCs w:val="24"/>
              </w:rPr>
            </w:pPr>
            <w:r w:rsidRPr="00882976">
              <w:rPr>
                <w:rFonts w:cs="Arial"/>
                <w:szCs w:val="24"/>
              </w:rPr>
              <w:t>40.014</w:t>
            </w:r>
          </w:p>
        </w:tc>
      </w:tr>
      <w:tr w:rsidR="009F2DD7" w:rsidRPr="00882976" w14:paraId="7A36D1BF" w14:textId="77777777" w:rsidTr="00AC67F1">
        <w:trPr>
          <w:trHeight w:val="552"/>
          <w:jc w:val="center"/>
        </w:trPr>
        <w:tc>
          <w:tcPr>
            <w:tcW w:w="3114" w:type="dxa"/>
            <w:vAlign w:val="center"/>
          </w:tcPr>
          <w:p w14:paraId="53D25D39" w14:textId="77777777" w:rsidR="009F2DD7" w:rsidRPr="00882976" w:rsidRDefault="009F2DD7" w:rsidP="00AC67F1">
            <w:pPr>
              <w:pStyle w:val="NoSpacing"/>
              <w:spacing w:line="276" w:lineRule="auto"/>
              <w:rPr>
                <w:rFonts w:cs="Arial"/>
                <w:szCs w:val="24"/>
              </w:rPr>
            </w:pPr>
            <w:r w:rsidRPr="00882976">
              <w:rPr>
                <w:rFonts w:cs="Arial"/>
                <w:szCs w:val="24"/>
              </w:rPr>
              <w:t>Transitional Grant</w:t>
            </w:r>
          </w:p>
        </w:tc>
        <w:tc>
          <w:tcPr>
            <w:tcW w:w="1284" w:type="dxa"/>
            <w:vAlign w:val="center"/>
          </w:tcPr>
          <w:p w14:paraId="484F28D3" w14:textId="77777777" w:rsidR="009F2DD7" w:rsidRPr="00882976" w:rsidRDefault="009F2DD7" w:rsidP="00AC67F1">
            <w:pPr>
              <w:pStyle w:val="NoSpacing"/>
              <w:spacing w:line="276" w:lineRule="auto"/>
              <w:jc w:val="right"/>
              <w:rPr>
                <w:rFonts w:cs="Arial"/>
                <w:szCs w:val="24"/>
              </w:rPr>
            </w:pPr>
            <w:r w:rsidRPr="00882976">
              <w:rPr>
                <w:rFonts w:cs="Arial"/>
                <w:szCs w:val="24"/>
              </w:rPr>
              <w:t>1.154</w:t>
            </w:r>
          </w:p>
        </w:tc>
        <w:tc>
          <w:tcPr>
            <w:tcW w:w="1284" w:type="dxa"/>
            <w:vAlign w:val="center"/>
          </w:tcPr>
          <w:p w14:paraId="1FDE0DAE" w14:textId="2D944E2C" w:rsidR="009F2DD7" w:rsidRPr="00882976" w:rsidRDefault="004C00D2" w:rsidP="00AC67F1">
            <w:pPr>
              <w:pStyle w:val="NoSpacing"/>
              <w:spacing w:line="276" w:lineRule="auto"/>
              <w:jc w:val="right"/>
              <w:rPr>
                <w:rFonts w:cs="Arial"/>
                <w:szCs w:val="24"/>
              </w:rPr>
            </w:pPr>
            <w:r w:rsidRPr="00882976">
              <w:rPr>
                <w:rFonts w:cs="Arial"/>
                <w:szCs w:val="24"/>
              </w:rPr>
              <w:t>0.000</w:t>
            </w:r>
          </w:p>
        </w:tc>
        <w:tc>
          <w:tcPr>
            <w:tcW w:w="1284" w:type="dxa"/>
            <w:vAlign w:val="center"/>
          </w:tcPr>
          <w:p w14:paraId="24BF9CB0" w14:textId="2D87B491" w:rsidR="009F2DD7" w:rsidRPr="00882976" w:rsidRDefault="004C00D2" w:rsidP="00AC67F1">
            <w:pPr>
              <w:pStyle w:val="NoSpacing"/>
              <w:spacing w:line="276" w:lineRule="auto"/>
              <w:jc w:val="right"/>
              <w:rPr>
                <w:rFonts w:cs="Arial"/>
                <w:szCs w:val="24"/>
              </w:rPr>
            </w:pPr>
            <w:r w:rsidRPr="00882976">
              <w:rPr>
                <w:rFonts w:cs="Arial"/>
                <w:szCs w:val="24"/>
              </w:rPr>
              <w:t>0.000</w:t>
            </w:r>
          </w:p>
        </w:tc>
        <w:tc>
          <w:tcPr>
            <w:tcW w:w="1284" w:type="dxa"/>
            <w:vAlign w:val="center"/>
          </w:tcPr>
          <w:p w14:paraId="65EAC28F" w14:textId="4A26FC90" w:rsidR="009F2DD7" w:rsidRPr="00882976" w:rsidRDefault="004C00D2" w:rsidP="00AC67F1">
            <w:pPr>
              <w:pStyle w:val="NoSpacing"/>
              <w:spacing w:line="276" w:lineRule="auto"/>
              <w:jc w:val="right"/>
              <w:rPr>
                <w:rFonts w:cs="Arial"/>
                <w:szCs w:val="24"/>
              </w:rPr>
            </w:pPr>
            <w:r w:rsidRPr="00882976">
              <w:rPr>
                <w:rFonts w:cs="Arial"/>
                <w:szCs w:val="24"/>
              </w:rPr>
              <w:t>0.000</w:t>
            </w:r>
          </w:p>
        </w:tc>
      </w:tr>
      <w:tr w:rsidR="009F2DD7" w:rsidRPr="00882976" w14:paraId="2FA1945B" w14:textId="77777777" w:rsidTr="00AC67F1">
        <w:trPr>
          <w:trHeight w:val="552"/>
          <w:jc w:val="center"/>
        </w:trPr>
        <w:tc>
          <w:tcPr>
            <w:tcW w:w="3114" w:type="dxa"/>
            <w:vAlign w:val="center"/>
          </w:tcPr>
          <w:p w14:paraId="24197883" w14:textId="77777777" w:rsidR="009F2DD7" w:rsidRPr="00882976" w:rsidRDefault="009F2DD7" w:rsidP="00AC67F1">
            <w:pPr>
              <w:pStyle w:val="NoSpacing"/>
              <w:spacing w:line="276" w:lineRule="auto"/>
              <w:rPr>
                <w:rFonts w:cs="Arial"/>
                <w:szCs w:val="24"/>
              </w:rPr>
            </w:pPr>
            <w:r w:rsidRPr="00882976">
              <w:rPr>
                <w:rFonts w:cs="Arial"/>
                <w:szCs w:val="24"/>
              </w:rPr>
              <w:t>Capital receipts</w:t>
            </w:r>
          </w:p>
        </w:tc>
        <w:tc>
          <w:tcPr>
            <w:tcW w:w="1284" w:type="dxa"/>
            <w:vAlign w:val="center"/>
          </w:tcPr>
          <w:p w14:paraId="0030F144" w14:textId="77777777" w:rsidR="009F2DD7" w:rsidRPr="00882976" w:rsidRDefault="009F2DD7" w:rsidP="00AC67F1">
            <w:pPr>
              <w:pStyle w:val="NoSpacing"/>
              <w:spacing w:line="276" w:lineRule="auto"/>
              <w:jc w:val="right"/>
              <w:rPr>
                <w:rFonts w:cs="Arial"/>
                <w:szCs w:val="24"/>
              </w:rPr>
            </w:pPr>
            <w:r w:rsidRPr="00882976">
              <w:rPr>
                <w:rFonts w:cs="Arial"/>
                <w:szCs w:val="24"/>
              </w:rPr>
              <w:t>12.500</w:t>
            </w:r>
          </w:p>
        </w:tc>
        <w:tc>
          <w:tcPr>
            <w:tcW w:w="1284" w:type="dxa"/>
            <w:vAlign w:val="center"/>
          </w:tcPr>
          <w:p w14:paraId="70A46F9A" w14:textId="77777777" w:rsidR="009F2DD7" w:rsidRPr="00882976" w:rsidRDefault="009F2DD7" w:rsidP="00AC67F1">
            <w:pPr>
              <w:pStyle w:val="NoSpacing"/>
              <w:spacing w:line="276" w:lineRule="auto"/>
              <w:jc w:val="right"/>
              <w:rPr>
                <w:rFonts w:cs="Arial"/>
                <w:szCs w:val="24"/>
              </w:rPr>
            </w:pPr>
            <w:r w:rsidRPr="00882976">
              <w:rPr>
                <w:rFonts w:cs="Arial"/>
                <w:szCs w:val="24"/>
              </w:rPr>
              <w:t>5.000</w:t>
            </w:r>
          </w:p>
        </w:tc>
        <w:tc>
          <w:tcPr>
            <w:tcW w:w="1284" w:type="dxa"/>
            <w:vAlign w:val="center"/>
          </w:tcPr>
          <w:p w14:paraId="6F5A6619" w14:textId="77777777" w:rsidR="009F2DD7" w:rsidRPr="00882976" w:rsidRDefault="009F2DD7" w:rsidP="00AC67F1">
            <w:pPr>
              <w:pStyle w:val="NoSpacing"/>
              <w:spacing w:line="276" w:lineRule="auto"/>
              <w:jc w:val="right"/>
              <w:rPr>
                <w:rFonts w:cs="Arial"/>
                <w:szCs w:val="24"/>
              </w:rPr>
            </w:pPr>
            <w:r w:rsidRPr="00882976">
              <w:rPr>
                <w:rFonts w:cs="Arial"/>
                <w:szCs w:val="24"/>
              </w:rPr>
              <w:t>0.000</w:t>
            </w:r>
          </w:p>
        </w:tc>
        <w:tc>
          <w:tcPr>
            <w:tcW w:w="1284" w:type="dxa"/>
            <w:vAlign w:val="center"/>
          </w:tcPr>
          <w:p w14:paraId="7A0BBEBF" w14:textId="77777777" w:rsidR="009F2DD7" w:rsidRPr="00882976" w:rsidRDefault="009F2DD7" w:rsidP="00AC67F1">
            <w:pPr>
              <w:pStyle w:val="NoSpacing"/>
              <w:spacing w:line="276" w:lineRule="auto"/>
              <w:jc w:val="right"/>
              <w:rPr>
                <w:rFonts w:cs="Arial"/>
                <w:szCs w:val="24"/>
              </w:rPr>
            </w:pPr>
            <w:r w:rsidRPr="00882976">
              <w:rPr>
                <w:rFonts w:cs="Arial"/>
                <w:szCs w:val="24"/>
              </w:rPr>
              <w:t>0.000</w:t>
            </w:r>
          </w:p>
        </w:tc>
      </w:tr>
      <w:tr w:rsidR="009F2DD7" w:rsidRPr="00882976" w14:paraId="26A1ED44" w14:textId="77777777" w:rsidTr="00AC67F1">
        <w:trPr>
          <w:trHeight w:val="552"/>
          <w:jc w:val="center"/>
        </w:trPr>
        <w:tc>
          <w:tcPr>
            <w:tcW w:w="3114" w:type="dxa"/>
            <w:vAlign w:val="center"/>
          </w:tcPr>
          <w:p w14:paraId="64C54158" w14:textId="77777777" w:rsidR="009F2DD7" w:rsidRPr="00882976" w:rsidRDefault="009F2DD7" w:rsidP="00AC67F1">
            <w:pPr>
              <w:pStyle w:val="NoSpacing"/>
              <w:spacing w:line="276" w:lineRule="auto"/>
              <w:jc w:val="both"/>
              <w:rPr>
                <w:rFonts w:cs="Arial"/>
                <w:b/>
                <w:szCs w:val="24"/>
              </w:rPr>
            </w:pPr>
            <w:r w:rsidRPr="00882976">
              <w:rPr>
                <w:rFonts w:cs="Arial"/>
                <w:b/>
                <w:szCs w:val="24"/>
              </w:rPr>
              <w:t>Total</w:t>
            </w:r>
          </w:p>
        </w:tc>
        <w:tc>
          <w:tcPr>
            <w:tcW w:w="1284" w:type="dxa"/>
            <w:vAlign w:val="center"/>
          </w:tcPr>
          <w:p w14:paraId="7E68C872" w14:textId="6A0A1DE8" w:rsidR="009F2DD7" w:rsidRPr="00882976" w:rsidRDefault="00FB7167" w:rsidP="00AC67F1">
            <w:pPr>
              <w:spacing w:line="276" w:lineRule="auto"/>
              <w:jc w:val="right"/>
              <w:rPr>
                <w:rFonts w:cs="Arial"/>
                <w:b/>
                <w:lang w:eastAsia="en-GB"/>
              </w:rPr>
            </w:pPr>
            <w:r w:rsidRPr="00882976">
              <w:rPr>
                <w:rFonts w:cs="Arial"/>
                <w:b/>
                <w:lang w:eastAsia="en-GB"/>
              </w:rPr>
              <w:t>715.390</w:t>
            </w:r>
          </w:p>
        </w:tc>
        <w:tc>
          <w:tcPr>
            <w:tcW w:w="1284" w:type="dxa"/>
            <w:vAlign w:val="center"/>
          </w:tcPr>
          <w:p w14:paraId="14DECACF" w14:textId="6A31362A" w:rsidR="009F2DD7" w:rsidRPr="00882976" w:rsidRDefault="00FB7167" w:rsidP="00AC67F1">
            <w:pPr>
              <w:spacing w:line="276" w:lineRule="auto"/>
              <w:jc w:val="right"/>
              <w:rPr>
                <w:rFonts w:cs="Arial"/>
                <w:b/>
                <w:lang w:eastAsia="en-GB"/>
              </w:rPr>
            </w:pPr>
            <w:r w:rsidRPr="00882976">
              <w:rPr>
                <w:rFonts w:cs="Arial"/>
                <w:b/>
                <w:lang w:eastAsia="en-GB"/>
              </w:rPr>
              <w:t>726.539</w:t>
            </w:r>
          </w:p>
        </w:tc>
        <w:tc>
          <w:tcPr>
            <w:tcW w:w="1284" w:type="dxa"/>
            <w:vAlign w:val="center"/>
          </w:tcPr>
          <w:p w14:paraId="42171162" w14:textId="493DB9A8" w:rsidR="009F2DD7" w:rsidRPr="00882976" w:rsidRDefault="00FB7167" w:rsidP="00AC67F1">
            <w:pPr>
              <w:spacing w:line="276" w:lineRule="auto"/>
              <w:jc w:val="right"/>
              <w:rPr>
                <w:rFonts w:cs="Arial"/>
                <w:b/>
                <w:lang w:eastAsia="en-GB"/>
              </w:rPr>
            </w:pPr>
            <w:r w:rsidRPr="00882976">
              <w:rPr>
                <w:rFonts w:cs="Arial"/>
                <w:b/>
                <w:lang w:eastAsia="en-GB"/>
              </w:rPr>
              <w:t>743.316</w:t>
            </w:r>
          </w:p>
        </w:tc>
        <w:tc>
          <w:tcPr>
            <w:tcW w:w="1284" w:type="dxa"/>
            <w:vAlign w:val="center"/>
          </w:tcPr>
          <w:p w14:paraId="0A02C08F" w14:textId="388B9910" w:rsidR="009F2DD7" w:rsidRPr="00882976" w:rsidRDefault="00FB7167" w:rsidP="00AC67F1">
            <w:pPr>
              <w:spacing w:line="276" w:lineRule="auto"/>
              <w:jc w:val="right"/>
              <w:rPr>
                <w:rFonts w:cs="Arial"/>
                <w:b/>
                <w:lang w:eastAsia="en-GB"/>
              </w:rPr>
            </w:pPr>
            <w:r w:rsidRPr="00882976">
              <w:rPr>
                <w:rFonts w:cs="Arial"/>
                <w:b/>
                <w:lang w:eastAsia="en-GB"/>
              </w:rPr>
              <w:t>766.463</w:t>
            </w:r>
          </w:p>
        </w:tc>
      </w:tr>
    </w:tbl>
    <w:p w14:paraId="6BCE331F" w14:textId="77777777" w:rsidR="00FB7167" w:rsidRPr="00882976" w:rsidRDefault="00FB7167" w:rsidP="007F6B26">
      <w:pPr>
        <w:rPr>
          <w:rFonts w:cs="Arial"/>
        </w:rPr>
      </w:pPr>
    </w:p>
    <w:p w14:paraId="361A64A8" w14:textId="3E6C8AED" w:rsidR="004C00D2" w:rsidRPr="00882976" w:rsidRDefault="00FB7167" w:rsidP="007F6B26">
      <w:pPr>
        <w:rPr>
          <w:rFonts w:cs="Arial"/>
        </w:rPr>
      </w:pPr>
      <w:r w:rsidRPr="00882976">
        <w:rPr>
          <w:rFonts w:cs="Arial"/>
        </w:rPr>
        <w:t>The figures above</w:t>
      </w:r>
      <w:r w:rsidR="009F2DD7" w:rsidRPr="00882976">
        <w:rPr>
          <w:rFonts w:cs="Arial"/>
        </w:rPr>
        <w:t xml:space="preserve"> were based on a number of assumptions which have rev</w:t>
      </w:r>
      <w:r w:rsidRPr="00882976">
        <w:rPr>
          <w:rFonts w:cs="Arial"/>
        </w:rPr>
        <w:t>isited as part of this report, however at the moment there is not any further information that would indicate that these figures should be revised. It is important to note that Council Tax has been increased by 3.99%, however this will be a Full Council de</w:t>
      </w:r>
      <w:r w:rsidR="00B1681E">
        <w:rPr>
          <w:rFonts w:cs="Arial"/>
        </w:rPr>
        <w:t>cision when setting the budget for each financial year.</w:t>
      </w:r>
    </w:p>
    <w:p w14:paraId="62C634E8" w14:textId="77777777" w:rsidR="00B63BF2" w:rsidRPr="00882976" w:rsidRDefault="00B63BF2" w:rsidP="0016463C">
      <w:pPr>
        <w:spacing w:after="0"/>
        <w:rPr>
          <w:rFonts w:cs="Arial"/>
        </w:rPr>
      </w:pPr>
    </w:p>
    <w:p w14:paraId="057B3300" w14:textId="1F6E3A7B" w:rsidR="00B63BF2" w:rsidRPr="00882976" w:rsidRDefault="00B63BF2" w:rsidP="0016463C">
      <w:pPr>
        <w:spacing w:after="0"/>
        <w:rPr>
          <w:rFonts w:cs="Arial"/>
          <w:b/>
        </w:rPr>
      </w:pPr>
      <w:r w:rsidRPr="00882976">
        <w:rPr>
          <w:rFonts w:cs="Arial"/>
          <w:b/>
        </w:rPr>
        <w:t>2.1 Autumn Statement</w:t>
      </w:r>
    </w:p>
    <w:p w14:paraId="7BFCE130" w14:textId="503C7640" w:rsidR="00B63BF2" w:rsidRDefault="00B63BF2" w:rsidP="0016463C">
      <w:pPr>
        <w:spacing w:after="0"/>
        <w:rPr>
          <w:rFonts w:cs="Arial"/>
        </w:rPr>
      </w:pPr>
    </w:p>
    <w:p w14:paraId="24B50AF1" w14:textId="3D5DCC49" w:rsidR="0016463C" w:rsidRDefault="0016463C" w:rsidP="0016463C">
      <w:pPr>
        <w:spacing w:after="0"/>
        <w:rPr>
          <w:rFonts w:cs="Arial"/>
        </w:rPr>
      </w:pPr>
      <w:r>
        <w:rPr>
          <w:rFonts w:cs="Arial"/>
        </w:rPr>
        <w:t xml:space="preserve">The Autumn Statement did not provide many proposals which will have a direct impact on the County Council and therefore there are no changes reflected in this MTFS. The Chancellor announced that departmental spending plans would remain unchanged from those estimates provided in 2015. </w:t>
      </w:r>
    </w:p>
    <w:p w14:paraId="5272E42F" w14:textId="77777777" w:rsidR="0016463C" w:rsidRDefault="0016463C" w:rsidP="0016463C">
      <w:pPr>
        <w:spacing w:after="0"/>
        <w:rPr>
          <w:rFonts w:cs="Arial"/>
        </w:rPr>
      </w:pPr>
    </w:p>
    <w:p w14:paraId="32DDC74D" w14:textId="1F242A64" w:rsidR="0016463C" w:rsidRDefault="0016463C" w:rsidP="0016463C">
      <w:pPr>
        <w:spacing w:after="0"/>
        <w:rPr>
          <w:rFonts w:cs="Arial"/>
        </w:rPr>
      </w:pPr>
      <w:r>
        <w:rPr>
          <w:rFonts w:cs="Arial"/>
        </w:rPr>
        <w:t xml:space="preserve">Key issue of the Statement was that the economy is still resilient but that forecasted economic growth is due to fall in 2017 and 2018. </w:t>
      </w:r>
    </w:p>
    <w:p w14:paraId="63F83B33" w14:textId="77777777" w:rsidR="0016463C" w:rsidRDefault="0016463C" w:rsidP="0016463C">
      <w:pPr>
        <w:spacing w:after="0"/>
        <w:rPr>
          <w:rFonts w:cs="Arial"/>
        </w:rPr>
      </w:pPr>
    </w:p>
    <w:p w14:paraId="12B41EEC" w14:textId="09E89C12" w:rsidR="0016463C" w:rsidRDefault="0016463C" w:rsidP="0016463C">
      <w:pPr>
        <w:spacing w:after="0"/>
        <w:rPr>
          <w:rFonts w:cs="Arial"/>
        </w:rPr>
      </w:pPr>
      <w:r>
        <w:rPr>
          <w:rFonts w:cs="Arial"/>
        </w:rPr>
        <w:t xml:space="preserve">The Chancellor has identified the productivity of the economy as a problem. To address this he announced a number of investments in research and development, housing, digital infrastructure and Transport some of which could impact on Lancashire, but this will only be known when further details are provided. </w:t>
      </w:r>
    </w:p>
    <w:p w14:paraId="497B0F7A" w14:textId="77777777" w:rsidR="0016463C" w:rsidRDefault="0016463C" w:rsidP="0016463C">
      <w:pPr>
        <w:rPr>
          <w:rFonts w:cs="Arial"/>
        </w:rPr>
      </w:pPr>
    </w:p>
    <w:p w14:paraId="16F60D05" w14:textId="5887BBE1" w:rsidR="0016463C" w:rsidRDefault="00EA5EC2" w:rsidP="003A36B4">
      <w:pPr>
        <w:spacing w:after="0"/>
        <w:rPr>
          <w:rFonts w:cs="Arial"/>
        </w:rPr>
      </w:pPr>
      <w:r>
        <w:rPr>
          <w:rFonts w:cs="Arial"/>
        </w:rPr>
        <w:lastRenderedPageBreak/>
        <w:t xml:space="preserve">The announcement included an increase in the National Living Wage which has already been provided for the MTFS. There was also </w:t>
      </w:r>
      <w:r w:rsidR="003A36B4">
        <w:rPr>
          <w:rFonts w:cs="Arial"/>
        </w:rPr>
        <w:t xml:space="preserve">an announcement </w:t>
      </w:r>
      <w:r w:rsidR="006D2EC4">
        <w:rPr>
          <w:rFonts w:cs="Arial"/>
        </w:rPr>
        <w:t>that employee</w:t>
      </w:r>
      <w:r>
        <w:rPr>
          <w:rFonts w:cs="Arial"/>
        </w:rPr>
        <w:t xml:space="preserve"> and employer national insurance thresholds will be equalised from April 2017, although at the moment we require confirmatio</w:t>
      </w:r>
      <w:r w:rsidR="003A36B4">
        <w:rPr>
          <w:rFonts w:cs="Arial"/>
        </w:rPr>
        <w:t>n of the details of this change.</w:t>
      </w:r>
      <w:r>
        <w:rPr>
          <w:rFonts w:cs="Arial"/>
        </w:rPr>
        <w:t xml:space="preserve"> </w:t>
      </w:r>
      <w:r w:rsidR="003A36B4">
        <w:rPr>
          <w:rFonts w:cs="Arial"/>
        </w:rPr>
        <w:t xml:space="preserve">If this ultimately represents a cost pressure to the County Council it will be reflected in a future MTFS. </w:t>
      </w:r>
      <w:r>
        <w:rPr>
          <w:rFonts w:cs="Arial"/>
        </w:rPr>
        <w:t xml:space="preserve"> </w:t>
      </w:r>
    </w:p>
    <w:p w14:paraId="22FD605F" w14:textId="77777777" w:rsidR="003A36B4" w:rsidRPr="00882976" w:rsidRDefault="003A36B4" w:rsidP="003A36B4">
      <w:pPr>
        <w:spacing w:after="0"/>
        <w:rPr>
          <w:rFonts w:cs="Arial"/>
        </w:rPr>
      </w:pPr>
    </w:p>
    <w:p w14:paraId="6A5B3559" w14:textId="3E4CE8F9" w:rsidR="00A32D45" w:rsidRPr="00882976" w:rsidRDefault="00A32D45" w:rsidP="003A36B4">
      <w:pPr>
        <w:spacing w:after="0"/>
        <w:rPr>
          <w:rFonts w:cs="Arial"/>
          <w:b/>
        </w:rPr>
      </w:pPr>
      <w:r w:rsidRPr="00882976">
        <w:rPr>
          <w:rFonts w:cs="Arial"/>
          <w:b/>
        </w:rPr>
        <w:t>2.</w:t>
      </w:r>
      <w:r w:rsidR="00B63BF2" w:rsidRPr="00882976">
        <w:rPr>
          <w:rFonts w:cs="Arial"/>
          <w:b/>
        </w:rPr>
        <w:t>2</w:t>
      </w:r>
      <w:r w:rsidRPr="00882976">
        <w:rPr>
          <w:rFonts w:cs="Arial"/>
          <w:b/>
        </w:rPr>
        <w:t xml:space="preserve"> Settlement Funding Assessment (SFA)</w:t>
      </w:r>
    </w:p>
    <w:p w14:paraId="481A986F" w14:textId="62868F13" w:rsidR="00A32D45" w:rsidRPr="00882976" w:rsidRDefault="00A32D45" w:rsidP="003A36B4">
      <w:pPr>
        <w:spacing w:after="0"/>
        <w:rPr>
          <w:rFonts w:cs="Arial"/>
        </w:rPr>
      </w:pPr>
      <w:r w:rsidRPr="00882976">
        <w:rPr>
          <w:rFonts w:cs="Arial"/>
        </w:rPr>
        <w:t>The Secretary of State announces a Settlement Funding Assessment (SFA) for each authority. This is an indication of the level of resources required by an authority which is to be met from business rates and RSG. In 2016/17 the Secretary of State announced d</w:t>
      </w:r>
      <w:r w:rsidR="005C03EB" w:rsidRPr="00882976">
        <w:rPr>
          <w:rFonts w:cs="Arial"/>
        </w:rPr>
        <w:t>etails of proposed support for the next 3</w:t>
      </w:r>
      <w:r w:rsidRPr="00882976">
        <w:rPr>
          <w:rFonts w:cs="Arial"/>
        </w:rPr>
        <w:t xml:space="preserve"> years, i.e. up to 2019/20 and the MTFS has been based on this Settlement.  These were:</w:t>
      </w:r>
    </w:p>
    <w:p w14:paraId="522BFDCA" w14:textId="77777777" w:rsidR="00A32D45" w:rsidRPr="00882976" w:rsidRDefault="00A32D45" w:rsidP="00A32D45">
      <w:pPr>
        <w:rPr>
          <w:rFonts w:cs="Arial"/>
        </w:rPr>
      </w:pPr>
    </w:p>
    <w:tbl>
      <w:tblPr>
        <w:tblStyle w:val="TableGrid"/>
        <w:tblW w:w="7581" w:type="dxa"/>
        <w:jc w:val="center"/>
        <w:tblLook w:val="04A0" w:firstRow="1" w:lastRow="0" w:firstColumn="1" w:lastColumn="0" w:noHBand="0" w:noVBand="1"/>
      </w:tblPr>
      <w:tblGrid>
        <w:gridCol w:w="3828"/>
        <w:gridCol w:w="1148"/>
        <w:gridCol w:w="1147"/>
        <w:gridCol w:w="1458"/>
      </w:tblGrid>
      <w:tr w:rsidR="005C03EB" w:rsidRPr="00882976" w14:paraId="4B79F9DC" w14:textId="77777777" w:rsidTr="005C03EB">
        <w:trPr>
          <w:trHeight w:val="744"/>
          <w:jc w:val="center"/>
        </w:trPr>
        <w:tc>
          <w:tcPr>
            <w:tcW w:w="3828" w:type="dxa"/>
            <w:tcBorders>
              <w:bottom w:val="nil"/>
            </w:tcBorders>
            <w:shd w:val="clear" w:color="auto" w:fill="BFBFBF" w:themeFill="background1" w:themeFillShade="BF"/>
            <w:vAlign w:val="center"/>
          </w:tcPr>
          <w:p w14:paraId="7CB40658" w14:textId="77777777" w:rsidR="005C03EB" w:rsidRPr="00882976" w:rsidRDefault="005C03EB" w:rsidP="00AC67F1">
            <w:pPr>
              <w:jc w:val="center"/>
              <w:rPr>
                <w:rFonts w:cs="Arial"/>
                <w:b/>
              </w:rPr>
            </w:pPr>
          </w:p>
          <w:p w14:paraId="2164679D" w14:textId="77777777" w:rsidR="005C03EB" w:rsidRPr="00882976" w:rsidRDefault="005C03EB" w:rsidP="00AC67F1">
            <w:pPr>
              <w:jc w:val="center"/>
              <w:rPr>
                <w:rFonts w:cs="Arial"/>
                <w:b/>
              </w:rPr>
            </w:pPr>
          </w:p>
        </w:tc>
        <w:tc>
          <w:tcPr>
            <w:tcW w:w="1148" w:type="dxa"/>
            <w:tcBorders>
              <w:bottom w:val="nil"/>
            </w:tcBorders>
            <w:shd w:val="clear" w:color="auto" w:fill="BFBFBF" w:themeFill="background1" w:themeFillShade="BF"/>
            <w:vAlign w:val="center"/>
          </w:tcPr>
          <w:p w14:paraId="22CF55E7" w14:textId="77777777" w:rsidR="005C03EB" w:rsidRPr="00882976" w:rsidRDefault="005C03EB" w:rsidP="00AC67F1">
            <w:pPr>
              <w:jc w:val="center"/>
              <w:rPr>
                <w:rFonts w:cs="Arial"/>
                <w:b/>
              </w:rPr>
            </w:pPr>
            <w:r w:rsidRPr="00882976">
              <w:rPr>
                <w:rFonts w:cs="Arial"/>
                <w:b/>
              </w:rPr>
              <w:t>2017/18</w:t>
            </w:r>
          </w:p>
          <w:p w14:paraId="071F3552" w14:textId="77777777" w:rsidR="005C03EB" w:rsidRPr="00882976" w:rsidRDefault="005C03EB" w:rsidP="00AC67F1">
            <w:pPr>
              <w:jc w:val="center"/>
              <w:rPr>
                <w:rFonts w:cs="Arial"/>
                <w:b/>
              </w:rPr>
            </w:pPr>
            <w:r w:rsidRPr="00882976">
              <w:rPr>
                <w:rFonts w:cs="Arial"/>
                <w:b/>
              </w:rPr>
              <w:t>£m</w:t>
            </w:r>
          </w:p>
        </w:tc>
        <w:tc>
          <w:tcPr>
            <w:tcW w:w="1147" w:type="dxa"/>
            <w:tcBorders>
              <w:bottom w:val="nil"/>
            </w:tcBorders>
            <w:shd w:val="clear" w:color="auto" w:fill="BFBFBF" w:themeFill="background1" w:themeFillShade="BF"/>
            <w:vAlign w:val="center"/>
          </w:tcPr>
          <w:p w14:paraId="534D3952" w14:textId="77777777" w:rsidR="005C03EB" w:rsidRPr="00882976" w:rsidRDefault="005C03EB" w:rsidP="00AC67F1">
            <w:pPr>
              <w:jc w:val="center"/>
              <w:rPr>
                <w:rFonts w:cs="Arial"/>
                <w:b/>
              </w:rPr>
            </w:pPr>
            <w:r w:rsidRPr="00882976">
              <w:rPr>
                <w:rFonts w:cs="Arial"/>
                <w:b/>
              </w:rPr>
              <w:t>2018/19</w:t>
            </w:r>
          </w:p>
          <w:p w14:paraId="549CD0E9" w14:textId="77777777" w:rsidR="005C03EB" w:rsidRPr="00882976" w:rsidRDefault="005C03EB" w:rsidP="00AC67F1">
            <w:pPr>
              <w:jc w:val="center"/>
              <w:rPr>
                <w:rFonts w:cs="Arial"/>
                <w:b/>
              </w:rPr>
            </w:pPr>
            <w:r w:rsidRPr="00882976">
              <w:rPr>
                <w:rFonts w:cs="Arial"/>
                <w:b/>
              </w:rPr>
              <w:t>£m</w:t>
            </w:r>
          </w:p>
        </w:tc>
        <w:tc>
          <w:tcPr>
            <w:tcW w:w="1458" w:type="dxa"/>
            <w:tcBorders>
              <w:bottom w:val="nil"/>
            </w:tcBorders>
            <w:shd w:val="clear" w:color="auto" w:fill="BFBFBF" w:themeFill="background1" w:themeFillShade="BF"/>
            <w:vAlign w:val="center"/>
          </w:tcPr>
          <w:p w14:paraId="1F07577C" w14:textId="77777777" w:rsidR="005C03EB" w:rsidRPr="00882976" w:rsidRDefault="005C03EB" w:rsidP="00AC67F1">
            <w:pPr>
              <w:jc w:val="center"/>
              <w:rPr>
                <w:rFonts w:cs="Arial"/>
                <w:b/>
              </w:rPr>
            </w:pPr>
            <w:r w:rsidRPr="00882976">
              <w:rPr>
                <w:rFonts w:cs="Arial"/>
                <w:b/>
              </w:rPr>
              <w:t>2019/20</w:t>
            </w:r>
          </w:p>
          <w:p w14:paraId="77B3E58B" w14:textId="77777777" w:rsidR="005C03EB" w:rsidRPr="00882976" w:rsidRDefault="005C03EB" w:rsidP="00AC67F1">
            <w:pPr>
              <w:jc w:val="center"/>
              <w:rPr>
                <w:rFonts w:cs="Arial"/>
                <w:b/>
              </w:rPr>
            </w:pPr>
            <w:r w:rsidRPr="00882976">
              <w:rPr>
                <w:rFonts w:cs="Arial"/>
                <w:b/>
              </w:rPr>
              <w:t>£m</w:t>
            </w:r>
          </w:p>
        </w:tc>
      </w:tr>
      <w:tr w:rsidR="005C03EB" w:rsidRPr="00882976" w14:paraId="1AF5B13B" w14:textId="77777777" w:rsidTr="005C03EB">
        <w:trPr>
          <w:trHeight w:val="779"/>
          <w:jc w:val="center"/>
        </w:trPr>
        <w:tc>
          <w:tcPr>
            <w:tcW w:w="3828" w:type="dxa"/>
          </w:tcPr>
          <w:p w14:paraId="21734A36" w14:textId="77777777" w:rsidR="005C03EB" w:rsidRPr="00882976" w:rsidRDefault="005C03EB" w:rsidP="001E485A">
            <w:pPr>
              <w:jc w:val="left"/>
              <w:rPr>
                <w:rFonts w:cs="Arial"/>
              </w:rPr>
            </w:pPr>
            <w:r w:rsidRPr="00882976">
              <w:rPr>
                <w:rFonts w:cs="Arial"/>
              </w:rPr>
              <w:t>Settlement Funding Assessment (SFA)</w:t>
            </w:r>
          </w:p>
        </w:tc>
        <w:tc>
          <w:tcPr>
            <w:tcW w:w="1148" w:type="dxa"/>
            <w:vAlign w:val="center"/>
          </w:tcPr>
          <w:p w14:paraId="1FB919F4" w14:textId="77777777" w:rsidR="005C03EB" w:rsidRPr="00882976" w:rsidRDefault="005C03EB" w:rsidP="00AC67F1">
            <w:pPr>
              <w:jc w:val="right"/>
              <w:rPr>
                <w:rFonts w:cs="Arial"/>
              </w:rPr>
            </w:pPr>
            <w:r w:rsidRPr="00882976">
              <w:rPr>
                <w:rFonts w:cs="Arial"/>
              </w:rPr>
              <w:t>258.326</w:t>
            </w:r>
          </w:p>
        </w:tc>
        <w:tc>
          <w:tcPr>
            <w:tcW w:w="1147" w:type="dxa"/>
            <w:vAlign w:val="center"/>
          </w:tcPr>
          <w:p w14:paraId="1B255EBD" w14:textId="77777777" w:rsidR="005C03EB" w:rsidRPr="00882976" w:rsidRDefault="005C03EB" w:rsidP="00AC67F1">
            <w:pPr>
              <w:jc w:val="right"/>
              <w:rPr>
                <w:rFonts w:cs="Arial"/>
              </w:rPr>
            </w:pPr>
            <w:r w:rsidRPr="00882976">
              <w:rPr>
                <w:rFonts w:cs="Arial"/>
              </w:rPr>
              <w:t>239.014</w:t>
            </w:r>
          </w:p>
        </w:tc>
        <w:tc>
          <w:tcPr>
            <w:tcW w:w="1458" w:type="dxa"/>
            <w:vAlign w:val="center"/>
          </w:tcPr>
          <w:p w14:paraId="03B03BE0" w14:textId="77777777" w:rsidR="005C03EB" w:rsidRPr="00882976" w:rsidRDefault="005C03EB" w:rsidP="00AC67F1">
            <w:pPr>
              <w:jc w:val="right"/>
              <w:rPr>
                <w:rFonts w:cs="Arial"/>
              </w:rPr>
            </w:pPr>
            <w:r w:rsidRPr="00882976">
              <w:rPr>
                <w:rFonts w:cs="Arial"/>
              </w:rPr>
              <w:t>220.747</w:t>
            </w:r>
          </w:p>
        </w:tc>
      </w:tr>
      <w:tr w:rsidR="005C03EB" w:rsidRPr="00882976" w14:paraId="445E7334" w14:textId="77777777" w:rsidTr="005C03EB">
        <w:trPr>
          <w:trHeight w:val="547"/>
          <w:jc w:val="center"/>
        </w:trPr>
        <w:tc>
          <w:tcPr>
            <w:tcW w:w="3828" w:type="dxa"/>
            <w:shd w:val="clear" w:color="auto" w:fill="BFBFBF" w:themeFill="background1" w:themeFillShade="BF"/>
            <w:vAlign w:val="center"/>
          </w:tcPr>
          <w:p w14:paraId="5E9CE864" w14:textId="77777777" w:rsidR="005C03EB" w:rsidRPr="00882976" w:rsidRDefault="005C03EB" w:rsidP="00AC67F1">
            <w:pPr>
              <w:rPr>
                <w:rFonts w:cs="Arial"/>
                <w:b/>
              </w:rPr>
            </w:pPr>
            <w:r w:rsidRPr="00882976">
              <w:rPr>
                <w:rFonts w:cs="Arial"/>
                <w:b/>
              </w:rPr>
              <w:t>Funded by:</w:t>
            </w:r>
          </w:p>
        </w:tc>
        <w:tc>
          <w:tcPr>
            <w:tcW w:w="1148" w:type="dxa"/>
            <w:shd w:val="clear" w:color="auto" w:fill="BFBFBF" w:themeFill="background1" w:themeFillShade="BF"/>
            <w:vAlign w:val="center"/>
          </w:tcPr>
          <w:p w14:paraId="52BB17C3" w14:textId="77777777" w:rsidR="005C03EB" w:rsidRPr="00882976" w:rsidRDefault="005C03EB" w:rsidP="00AC67F1">
            <w:pPr>
              <w:jc w:val="right"/>
              <w:rPr>
                <w:rFonts w:cs="Arial"/>
              </w:rPr>
            </w:pPr>
          </w:p>
        </w:tc>
        <w:tc>
          <w:tcPr>
            <w:tcW w:w="1147" w:type="dxa"/>
            <w:shd w:val="clear" w:color="auto" w:fill="BFBFBF" w:themeFill="background1" w:themeFillShade="BF"/>
            <w:vAlign w:val="center"/>
          </w:tcPr>
          <w:p w14:paraId="6E8B67C2" w14:textId="77777777" w:rsidR="005C03EB" w:rsidRPr="00882976" w:rsidRDefault="005C03EB" w:rsidP="00AC67F1">
            <w:pPr>
              <w:jc w:val="right"/>
              <w:rPr>
                <w:rFonts w:cs="Arial"/>
              </w:rPr>
            </w:pPr>
          </w:p>
        </w:tc>
        <w:tc>
          <w:tcPr>
            <w:tcW w:w="1458" w:type="dxa"/>
            <w:shd w:val="clear" w:color="auto" w:fill="BFBFBF" w:themeFill="background1" w:themeFillShade="BF"/>
            <w:vAlign w:val="center"/>
          </w:tcPr>
          <w:p w14:paraId="75186819" w14:textId="77777777" w:rsidR="005C03EB" w:rsidRPr="00882976" w:rsidRDefault="005C03EB" w:rsidP="00AC67F1">
            <w:pPr>
              <w:jc w:val="right"/>
              <w:rPr>
                <w:rFonts w:cs="Arial"/>
              </w:rPr>
            </w:pPr>
          </w:p>
        </w:tc>
      </w:tr>
      <w:tr w:rsidR="005C03EB" w:rsidRPr="00882976" w14:paraId="1132081D" w14:textId="77777777" w:rsidTr="005C03EB">
        <w:trPr>
          <w:trHeight w:val="643"/>
          <w:jc w:val="center"/>
        </w:trPr>
        <w:tc>
          <w:tcPr>
            <w:tcW w:w="3828" w:type="dxa"/>
            <w:vAlign w:val="center"/>
          </w:tcPr>
          <w:p w14:paraId="76766FEC" w14:textId="77777777" w:rsidR="005C03EB" w:rsidRPr="00882976" w:rsidRDefault="005C03EB" w:rsidP="00AC67F1">
            <w:pPr>
              <w:rPr>
                <w:rFonts w:cs="Arial"/>
              </w:rPr>
            </w:pPr>
            <w:r w:rsidRPr="00882976">
              <w:rPr>
                <w:rFonts w:cs="Arial"/>
              </w:rPr>
              <w:t>Revenue Support Grant</w:t>
            </w:r>
          </w:p>
        </w:tc>
        <w:tc>
          <w:tcPr>
            <w:tcW w:w="1148" w:type="dxa"/>
            <w:vAlign w:val="center"/>
          </w:tcPr>
          <w:p w14:paraId="6D445BB9" w14:textId="77777777" w:rsidR="005C03EB" w:rsidRPr="00882976" w:rsidRDefault="005C03EB" w:rsidP="00AC67F1">
            <w:pPr>
              <w:jc w:val="right"/>
              <w:rPr>
                <w:rFonts w:cs="Arial"/>
              </w:rPr>
            </w:pPr>
            <w:r w:rsidRPr="00882976">
              <w:rPr>
                <w:rFonts w:cs="Arial"/>
              </w:rPr>
              <w:t>81.508</w:t>
            </w:r>
          </w:p>
        </w:tc>
        <w:tc>
          <w:tcPr>
            <w:tcW w:w="1147" w:type="dxa"/>
            <w:vAlign w:val="center"/>
          </w:tcPr>
          <w:p w14:paraId="727FB959" w14:textId="77777777" w:rsidR="005C03EB" w:rsidRPr="00882976" w:rsidRDefault="005C03EB" w:rsidP="00AC67F1">
            <w:pPr>
              <w:jc w:val="right"/>
              <w:rPr>
                <w:rFonts w:cs="Arial"/>
              </w:rPr>
            </w:pPr>
            <w:r w:rsidRPr="00882976">
              <w:rPr>
                <w:rFonts w:cs="Arial"/>
              </w:rPr>
              <w:t>56.979</w:t>
            </w:r>
          </w:p>
        </w:tc>
        <w:tc>
          <w:tcPr>
            <w:tcW w:w="1458" w:type="dxa"/>
            <w:vAlign w:val="center"/>
          </w:tcPr>
          <w:p w14:paraId="28F66FF6" w14:textId="77777777" w:rsidR="005C03EB" w:rsidRPr="00882976" w:rsidRDefault="005C03EB" w:rsidP="00AC67F1">
            <w:pPr>
              <w:jc w:val="right"/>
              <w:rPr>
                <w:rFonts w:cs="Arial"/>
              </w:rPr>
            </w:pPr>
            <w:r w:rsidRPr="00882976">
              <w:rPr>
                <w:rFonts w:cs="Arial"/>
              </w:rPr>
              <w:t>32.894</w:t>
            </w:r>
          </w:p>
        </w:tc>
      </w:tr>
      <w:tr w:rsidR="005C03EB" w:rsidRPr="00882976" w14:paraId="15451340" w14:textId="77777777" w:rsidTr="005C03EB">
        <w:trPr>
          <w:trHeight w:val="682"/>
          <w:jc w:val="center"/>
        </w:trPr>
        <w:tc>
          <w:tcPr>
            <w:tcW w:w="3828" w:type="dxa"/>
            <w:vAlign w:val="center"/>
          </w:tcPr>
          <w:p w14:paraId="476DE88C" w14:textId="77777777" w:rsidR="005C03EB" w:rsidRPr="00882976" w:rsidRDefault="005C03EB" w:rsidP="00AC67F1">
            <w:pPr>
              <w:rPr>
                <w:rFonts w:cs="Arial"/>
              </w:rPr>
            </w:pPr>
            <w:r w:rsidRPr="00882976">
              <w:rPr>
                <w:rFonts w:cs="Arial"/>
              </w:rPr>
              <w:t>Business Rate Baseline</w:t>
            </w:r>
          </w:p>
        </w:tc>
        <w:tc>
          <w:tcPr>
            <w:tcW w:w="1148" w:type="dxa"/>
            <w:vAlign w:val="center"/>
          </w:tcPr>
          <w:p w14:paraId="4D7710F5" w14:textId="77777777" w:rsidR="005C03EB" w:rsidRPr="00882976" w:rsidRDefault="005C03EB" w:rsidP="00AC67F1">
            <w:pPr>
              <w:jc w:val="right"/>
              <w:rPr>
                <w:rFonts w:cs="Arial"/>
              </w:rPr>
            </w:pPr>
            <w:r w:rsidRPr="00882976">
              <w:rPr>
                <w:rFonts w:cs="Arial"/>
              </w:rPr>
              <w:t>176.818</w:t>
            </w:r>
          </w:p>
        </w:tc>
        <w:tc>
          <w:tcPr>
            <w:tcW w:w="1147" w:type="dxa"/>
            <w:vAlign w:val="center"/>
          </w:tcPr>
          <w:p w14:paraId="6BD268A2" w14:textId="77777777" w:rsidR="005C03EB" w:rsidRPr="00882976" w:rsidRDefault="005C03EB" w:rsidP="00AC67F1">
            <w:pPr>
              <w:jc w:val="right"/>
              <w:rPr>
                <w:rFonts w:cs="Arial"/>
              </w:rPr>
            </w:pPr>
            <w:r w:rsidRPr="00882976">
              <w:rPr>
                <w:rFonts w:cs="Arial"/>
              </w:rPr>
              <w:t>182.035</w:t>
            </w:r>
          </w:p>
        </w:tc>
        <w:tc>
          <w:tcPr>
            <w:tcW w:w="1458" w:type="dxa"/>
            <w:vAlign w:val="center"/>
          </w:tcPr>
          <w:p w14:paraId="020502B2" w14:textId="77777777" w:rsidR="005C03EB" w:rsidRPr="00882976" w:rsidRDefault="005C03EB" w:rsidP="00AC67F1">
            <w:pPr>
              <w:jc w:val="right"/>
              <w:rPr>
                <w:rFonts w:cs="Arial"/>
              </w:rPr>
            </w:pPr>
            <w:r w:rsidRPr="00882976">
              <w:rPr>
                <w:rFonts w:cs="Arial"/>
              </w:rPr>
              <w:t>187.853</w:t>
            </w:r>
          </w:p>
        </w:tc>
      </w:tr>
      <w:tr w:rsidR="005C03EB" w:rsidRPr="00882976" w14:paraId="60F10DD5" w14:textId="77777777" w:rsidTr="005C03EB">
        <w:trPr>
          <w:trHeight w:val="602"/>
          <w:jc w:val="center"/>
        </w:trPr>
        <w:tc>
          <w:tcPr>
            <w:tcW w:w="3828" w:type="dxa"/>
            <w:shd w:val="clear" w:color="auto" w:fill="BFBFBF" w:themeFill="background1" w:themeFillShade="BF"/>
            <w:vAlign w:val="center"/>
          </w:tcPr>
          <w:p w14:paraId="160034A7" w14:textId="7469FA85" w:rsidR="005C03EB" w:rsidRPr="00882976" w:rsidRDefault="004C52A6" w:rsidP="00AC67F1">
            <w:pPr>
              <w:rPr>
                <w:rFonts w:cs="Arial"/>
                <w:b/>
              </w:rPr>
            </w:pPr>
            <w:r w:rsidRPr="00882976">
              <w:rPr>
                <w:rFonts w:cs="Arial"/>
                <w:b/>
              </w:rPr>
              <w:t>Total</w:t>
            </w:r>
          </w:p>
        </w:tc>
        <w:tc>
          <w:tcPr>
            <w:tcW w:w="1148" w:type="dxa"/>
            <w:shd w:val="clear" w:color="auto" w:fill="BFBFBF" w:themeFill="background1" w:themeFillShade="BF"/>
            <w:vAlign w:val="center"/>
          </w:tcPr>
          <w:p w14:paraId="4CA483F2" w14:textId="77777777" w:rsidR="005C03EB" w:rsidRPr="00882976" w:rsidRDefault="005C03EB" w:rsidP="00AC67F1">
            <w:pPr>
              <w:jc w:val="right"/>
              <w:rPr>
                <w:rFonts w:cs="Arial"/>
                <w:b/>
              </w:rPr>
            </w:pPr>
            <w:r w:rsidRPr="00882976">
              <w:rPr>
                <w:rFonts w:cs="Arial"/>
                <w:b/>
              </w:rPr>
              <w:t>258.326</w:t>
            </w:r>
          </w:p>
        </w:tc>
        <w:tc>
          <w:tcPr>
            <w:tcW w:w="1147" w:type="dxa"/>
            <w:shd w:val="clear" w:color="auto" w:fill="BFBFBF" w:themeFill="background1" w:themeFillShade="BF"/>
            <w:vAlign w:val="center"/>
          </w:tcPr>
          <w:p w14:paraId="5E66B893" w14:textId="77777777" w:rsidR="005C03EB" w:rsidRPr="00882976" w:rsidRDefault="005C03EB" w:rsidP="00AC67F1">
            <w:pPr>
              <w:jc w:val="right"/>
              <w:rPr>
                <w:rFonts w:cs="Arial"/>
                <w:b/>
              </w:rPr>
            </w:pPr>
            <w:r w:rsidRPr="00882976">
              <w:rPr>
                <w:rFonts w:cs="Arial"/>
                <w:b/>
              </w:rPr>
              <w:t>239.014</w:t>
            </w:r>
          </w:p>
        </w:tc>
        <w:tc>
          <w:tcPr>
            <w:tcW w:w="1458" w:type="dxa"/>
            <w:shd w:val="clear" w:color="auto" w:fill="BFBFBF" w:themeFill="background1" w:themeFillShade="BF"/>
            <w:vAlign w:val="center"/>
          </w:tcPr>
          <w:p w14:paraId="25C3BB31" w14:textId="77777777" w:rsidR="005C03EB" w:rsidRPr="00882976" w:rsidRDefault="005C03EB" w:rsidP="00AC67F1">
            <w:pPr>
              <w:jc w:val="right"/>
              <w:rPr>
                <w:rFonts w:cs="Arial"/>
                <w:b/>
              </w:rPr>
            </w:pPr>
            <w:r w:rsidRPr="00882976">
              <w:rPr>
                <w:rFonts w:cs="Arial"/>
                <w:b/>
              </w:rPr>
              <w:t>220.747</w:t>
            </w:r>
          </w:p>
        </w:tc>
      </w:tr>
      <w:tr w:rsidR="005C03EB" w:rsidRPr="00882976" w14:paraId="05C0117F" w14:textId="77777777" w:rsidTr="005C03EB">
        <w:trPr>
          <w:trHeight w:val="680"/>
          <w:jc w:val="center"/>
        </w:trPr>
        <w:tc>
          <w:tcPr>
            <w:tcW w:w="3828" w:type="dxa"/>
            <w:shd w:val="clear" w:color="auto" w:fill="auto"/>
            <w:vAlign w:val="center"/>
          </w:tcPr>
          <w:p w14:paraId="1AAC85B7" w14:textId="153D769D" w:rsidR="005C03EB" w:rsidRPr="00882976" w:rsidRDefault="004C00D2" w:rsidP="00AC67F1">
            <w:pPr>
              <w:rPr>
                <w:rFonts w:cs="Arial"/>
              </w:rPr>
            </w:pPr>
            <w:r w:rsidRPr="00882976">
              <w:rPr>
                <w:rFonts w:cs="Arial"/>
              </w:rPr>
              <w:t>Reduction in</w:t>
            </w:r>
            <w:r w:rsidR="005C03EB" w:rsidRPr="00882976">
              <w:rPr>
                <w:rFonts w:cs="Arial"/>
              </w:rPr>
              <w:t xml:space="preserve"> SFA</w:t>
            </w:r>
          </w:p>
        </w:tc>
        <w:tc>
          <w:tcPr>
            <w:tcW w:w="1148" w:type="dxa"/>
            <w:shd w:val="clear" w:color="auto" w:fill="auto"/>
            <w:vAlign w:val="center"/>
          </w:tcPr>
          <w:p w14:paraId="77BC5BE8" w14:textId="77777777" w:rsidR="005C03EB" w:rsidRPr="00882976" w:rsidRDefault="005C03EB" w:rsidP="00AC67F1">
            <w:pPr>
              <w:jc w:val="right"/>
              <w:rPr>
                <w:rFonts w:cs="Arial"/>
              </w:rPr>
            </w:pPr>
            <w:r w:rsidRPr="00882976">
              <w:rPr>
                <w:rFonts w:cs="Arial"/>
              </w:rPr>
              <w:t>-33.923</w:t>
            </w:r>
          </w:p>
        </w:tc>
        <w:tc>
          <w:tcPr>
            <w:tcW w:w="1147" w:type="dxa"/>
            <w:shd w:val="clear" w:color="auto" w:fill="auto"/>
            <w:vAlign w:val="center"/>
          </w:tcPr>
          <w:p w14:paraId="101EC6F9" w14:textId="77777777" w:rsidR="005C03EB" w:rsidRPr="00882976" w:rsidRDefault="005C03EB" w:rsidP="00AC67F1">
            <w:pPr>
              <w:jc w:val="right"/>
              <w:rPr>
                <w:rFonts w:cs="Arial"/>
              </w:rPr>
            </w:pPr>
            <w:r w:rsidRPr="00882976">
              <w:rPr>
                <w:rFonts w:cs="Arial"/>
              </w:rPr>
              <w:t>-19.312</w:t>
            </w:r>
          </w:p>
        </w:tc>
        <w:tc>
          <w:tcPr>
            <w:tcW w:w="1458" w:type="dxa"/>
            <w:shd w:val="clear" w:color="auto" w:fill="auto"/>
            <w:vAlign w:val="center"/>
          </w:tcPr>
          <w:p w14:paraId="07C40352" w14:textId="77777777" w:rsidR="005C03EB" w:rsidRPr="00882976" w:rsidRDefault="005C03EB" w:rsidP="00AC67F1">
            <w:pPr>
              <w:jc w:val="right"/>
              <w:rPr>
                <w:rFonts w:cs="Arial"/>
              </w:rPr>
            </w:pPr>
            <w:r w:rsidRPr="00882976">
              <w:rPr>
                <w:rFonts w:cs="Arial"/>
              </w:rPr>
              <w:t>-18.267</w:t>
            </w:r>
          </w:p>
        </w:tc>
      </w:tr>
    </w:tbl>
    <w:p w14:paraId="346BEB29" w14:textId="77777777" w:rsidR="00A32D45" w:rsidRPr="00882976" w:rsidRDefault="00A32D45" w:rsidP="00A32D45">
      <w:pPr>
        <w:rPr>
          <w:rFonts w:cs="Arial"/>
        </w:rPr>
      </w:pPr>
    </w:p>
    <w:p w14:paraId="14265024" w14:textId="0AE82AC0" w:rsidR="00E007F5" w:rsidRPr="00882976" w:rsidRDefault="003F76DE" w:rsidP="003F76DE">
      <w:pPr>
        <w:rPr>
          <w:rFonts w:cs="Arial"/>
        </w:rPr>
      </w:pPr>
      <w:r w:rsidRPr="00882976">
        <w:rPr>
          <w:rFonts w:cs="Arial"/>
        </w:rPr>
        <w:t>The Settlement for 2017/18 to 201</w:t>
      </w:r>
      <w:r w:rsidR="00E007F5" w:rsidRPr="00882976">
        <w:rPr>
          <w:rFonts w:cs="Arial"/>
        </w:rPr>
        <w:t>0</w:t>
      </w:r>
      <w:r w:rsidRPr="00882976">
        <w:rPr>
          <w:rFonts w:cs="Arial"/>
        </w:rPr>
        <w:t>/2</w:t>
      </w:r>
      <w:r w:rsidR="00E007F5" w:rsidRPr="00882976">
        <w:rPr>
          <w:rFonts w:cs="Arial"/>
        </w:rPr>
        <w:t>1</w:t>
      </w:r>
      <w:r w:rsidRPr="00882976">
        <w:rPr>
          <w:rFonts w:cs="Arial"/>
        </w:rPr>
        <w:t xml:space="preserve"> w</w:t>
      </w:r>
      <w:r w:rsidR="00E007F5" w:rsidRPr="00882976">
        <w:rPr>
          <w:rFonts w:cs="Arial"/>
        </w:rPr>
        <w:t>as</w:t>
      </w:r>
      <w:r w:rsidRPr="00882976">
        <w:rPr>
          <w:rFonts w:cs="Arial"/>
        </w:rPr>
        <w:t xml:space="preserve"> indicative but the Secretary of State offered local authorities the opportunity to apply for a four year finance settlement covering the Revenue Support Grant, Rural Services Delivery Grant and Transitional Grant. </w:t>
      </w:r>
      <w:r w:rsidR="00B63BF2" w:rsidRPr="00882976">
        <w:rPr>
          <w:rFonts w:cs="Arial"/>
        </w:rPr>
        <w:t>The County Council has not accept</w:t>
      </w:r>
      <w:r w:rsidR="00E007F5" w:rsidRPr="00882976">
        <w:rPr>
          <w:rFonts w:cs="Arial"/>
        </w:rPr>
        <w:t>ed</w:t>
      </w:r>
      <w:r w:rsidR="00B63BF2" w:rsidRPr="00882976">
        <w:rPr>
          <w:rFonts w:cs="Arial"/>
        </w:rPr>
        <w:t xml:space="preserve"> the offer of a four year finance settlement as it has bee</w:t>
      </w:r>
      <w:r w:rsidR="00E007F5" w:rsidRPr="00882976">
        <w:rPr>
          <w:rFonts w:cs="Arial"/>
        </w:rPr>
        <w:t xml:space="preserve">n evidenced, and validated by PwC, that </w:t>
      </w:r>
      <w:r w:rsidR="00B63BF2" w:rsidRPr="00882976">
        <w:rPr>
          <w:rFonts w:cs="Arial"/>
        </w:rPr>
        <w:t>there are not sufficient funds within th</w:t>
      </w:r>
      <w:r w:rsidR="00391A51" w:rsidRPr="00882976">
        <w:rPr>
          <w:rFonts w:cs="Arial"/>
        </w:rPr>
        <w:t>e proposed</w:t>
      </w:r>
      <w:r w:rsidR="00B63BF2" w:rsidRPr="00882976">
        <w:rPr>
          <w:rFonts w:cs="Arial"/>
        </w:rPr>
        <w:t xml:space="preserve"> settlement to support the Council's statutory service</w:t>
      </w:r>
      <w:r w:rsidR="00E007F5" w:rsidRPr="00882976">
        <w:rPr>
          <w:rFonts w:cs="Arial"/>
        </w:rPr>
        <w:t>s</w:t>
      </w:r>
      <w:r w:rsidR="00B63BF2" w:rsidRPr="00882976">
        <w:rPr>
          <w:rFonts w:cs="Arial"/>
        </w:rPr>
        <w:t xml:space="preserve">. </w:t>
      </w:r>
      <w:r w:rsidR="00391A51" w:rsidRPr="00882976">
        <w:rPr>
          <w:rFonts w:cs="Arial"/>
        </w:rPr>
        <w:t xml:space="preserve">As part of this forecast </w:t>
      </w:r>
      <w:r w:rsidR="00E007F5" w:rsidRPr="00882976">
        <w:rPr>
          <w:rFonts w:cs="Arial"/>
        </w:rPr>
        <w:t xml:space="preserve">Revenue Support Grant </w:t>
      </w:r>
      <w:r w:rsidRPr="00882976">
        <w:rPr>
          <w:rFonts w:cs="Arial"/>
        </w:rPr>
        <w:t xml:space="preserve">is assumed to reduce each year until ultimately </w:t>
      </w:r>
      <w:r w:rsidR="00E007F5" w:rsidRPr="00882976">
        <w:rPr>
          <w:rFonts w:cs="Arial"/>
        </w:rPr>
        <w:t xml:space="preserve">it </w:t>
      </w:r>
      <w:r w:rsidRPr="00882976">
        <w:rPr>
          <w:rFonts w:cs="Arial"/>
        </w:rPr>
        <w:t>is phase</w:t>
      </w:r>
      <w:r w:rsidR="009113C7" w:rsidRPr="00882976">
        <w:rPr>
          <w:rFonts w:cs="Arial"/>
        </w:rPr>
        <w:t>d</w:t>
      </w:r>
      <w:r w:rsidRPr="00882976">
        <w:rPr>
          <w:rFonts w:cs="Arial"/>
        </w:rPr>
        <w:t xml:space="preserve"> out completely by April 2021 at the latest.   </w:t>
      </w:r>
    </w:p>
    <w:p w14:paraId="37C7DB83" w14:textId="093D087C" w:rsidR="00B63BF2" w:rsidRPr="00882976" w:rsidRDefault="00A32D45" w:rsidP="001821C9">
      <w:pPr>
        <w:spacing w:after="0"/>
        <w:rPr>
          <w:rFonts w:cs="Arial"/>
        </w:rPr>
      </w:pPr>
      <w:r w:rsidRPr="00882976">
        <w:rPr>
          <w:rFonts w:cs="Arial"/>
        </w:rPr>
        <w:t xml:space="preserve">The indicative figures that have been provided </w:t>
      </w:r>
      <w:r w:rsidR="00CB0393" w:rsidRPr="00882976">
        <w:rPr>
          <w:rFonts w:cs="Arial"/>
        </w:rPr>
        <w:t>remain</w:t>
      </w:r>
      <w:r w:rsidRPr="00882976">
        <w:rPr>
          <w:rFonts w:cs="Arial"/>
        </w:rPr>
        <w:t xml:space="preserve"> the best available forecast </w:t>
      </w:r>
      <w:r w:rsidR="00CB0393" w:rsidRPr="00882976">
        <w:rPr>
          <w:rFonts w:cs="Arial"/>
        </w:rPr>
        <w:t xml:space="preserve">of </w:t>
      </w:r>
      <w:r w:rsidRPr="00882976">
        <w:rPr>
          <w:rFonts w:cs="Arial"/>
        </w:rPr>
        <w:t xml:space="preserve">Central Government's funding intentions. </w:t>
      </w:r>
      <w:r w:rsidR="00CB0393" w:rsidRPr="00882976">
        <w:rPr>
          <w:rFonts w:cs="Arial"/>
        </w:rPr>
        <w:t>They have therefore been retained as the basis of this MTFS.</w:t>
      </w:r>
    </w:p>
    <w:p w14:paraId="3DBF1DFE" w14:textId="77777777" w:rsidR="00DA15D9" w:rsidRPr="00882976" w:rsidRDefault="00DA15D9" w:rsidP="001821C9">
      <w:pPr>
        <w:spacing w:after="0"/>
        <w:rPr>
          <w:rFonts w:cs="Arial"/>
        </w:rPr>
      </w:pPr>
    </w:p>
    <w:p w14:paraId="6CC7296C" w14:textId="68BD7AF8" w:rsidR="00A32D45" w:rsidRPr="00882976" w:rsidRDefault="00A32D45" w:rsidP="001821C9">
      <w:pPr>
        <w:spacing w:after="0"/>
        <w:rPr>
          <w:rFonts w:cs="Arial"/>
        </w:rPr>
      </w:pPr>
      <w:r w:rsidRPr="00882976">
        <w:rPr>
          <w:rFonts w:cs="Arial"/>
        </w:rPr>
        <w:t>However, there is still significant risk associated with the figures include in the table above. At the time of the final settlement in February 2016 the forecast of economic growth was</w:t>
      </w:r>
      <w:r w:rsidR="003A5A5D">
        <w:rPr>
          <w:rFonts w:cs="Arial"/>
        </w:rPr>
        <w:t xml:space="preserve"> in the region of 2% per annum, however the Autumn Statement has now indicated a worsening position in 2017 (1.4%) and 2018 (1.7%).</w:t>
      </w:r>
      <w:r w:rsidRPr="00882976">
        <w:rPr>
          <w:rFonts w:cs="Arial"/>
        </w:rPr>
        <w:t xml:space="preserve"> Since then economic </w:t>
      </w:r>
      <w:r w:rsidRPr="00882976">
        <w:rPr>
          <w:rFonts w:cs="Arial"/>
        </w:rPr>
        <w:lastRenderedPageBreak/>
        <w:t xml:space="preserve">conditions and uncertainty both at home and in the world economy have worsened, particularly following the United Kingdom's decision to leave the European Union. Most estimates of UK economic growth over the lifetime of this MTFS are now lower. This will have an impact on Government finances and could potentially result in further public sector expenditure reductions although the Chancellor has announced that the aim to generate a surplus by the end of parliament is no longer sustainable. </w:t>
      </w:r>
    </w:p>
    <w:p w14:paraId="2F8D1590" w14:textId="77777777" w:rsidR="00A32D45" w:rsidRPr="00882976" w:rsidRDefault="00A32D45" w:rsidP="00A32D45">
      <w:pPr>
        <w:rPr>
          <w:rFonts w:cs="Arial"/>
          <w:b/>
          <w:u w:val="single"/>
        </w:rPr>
      </w:pPr>
    </w:p>
    <w:p w14:paraId="5280FC92" w14:textId="77777777" w:rsidR="00A32D45" w:rsidRPr="00882976" w:rsidRDefault="00A32D45" w:rsidP="00A32D45">
      <w:pPr>
        <w:rPr>
          <w:rFonts w:cs="Arial"/>
          <w:b/>
          <w:u w:val="single"/>
        </w:rPr>
      </w:pPr>
      <w:r w:rsidRPr="00882976">
        <w:rPr>
          <w:rFonts w:cs="Arial"/>
          <w:b/>
          <w:u w:val="single"/>
        </w:rPr>
        <w:t xml:space="preserve">Business Rates </w:t>
      </w:r>
    </w:p>
    <w:p w14:paraId="39663CEA" w14:textId="4D864B29" w:rsidR="00A32D45" w:rsidRPr="00882976" w:rsidRDefault="00A32D45" w:rsidP="00A32D45">
      <w:pPr>
        <w:rPr>
          <w:rFonts w:cs="Arial"/>
        </w:rPr>
      </w:pPr>
      <w:r w:rsidRPr="00882976">
        <w:rPr>
          <w:rFonts w:cs="Arial"/>
        </w:rPr>
        <w:t xml:space="preserve"> The business rates budget consists of</w:t>
      </w:r>
      <w:r w:rsidR="001821C9" w:rsidRPr="00882976">
        <w:rPr>
          <w:rFonts w:cs="Arial"/>
        </w:rPr>
        <w:t>:</w:t>
      </w:r>
    </w:p>
    <w:p w14:paraId="223BA89D" w14:textId="77777777" w:rsidR="00A32D45" w:rsidRPr="00882976" w:rsidRDefault="00A32D45" w:rsidP="00882976">
      <w:pPr>
        <w:pStyle w:val="ListParagraph"/>
        <w:numPr>
          <w:ilvl w:val="0"/>
          <w:numId w:val="28"/>
        </w:numPr>
        <w:autoSpaceDE/>
        <w:autoSpaceDN/>
        <w:adjustRightInd/>
        <w:spacing w:after="160" w:line="259" w:lineRule="auto"/>
        <w:jc w:val="left"/>
        <w:rPr>
          <w:rFonts w:cs="Arial"/>
        </w:rPr>
      </w:pPr>
      <w:r w:rsidRPr="00882976">
        <w:rPr>
          <w:rFonts w:cs="Arial"/>
        </w:rPr>
        <w:t>Business rate top up grant</w:t>
      </w:r>
    </w:p>
    <w:p w14:paraId="65C04D13" w14:textId="16F28DEA" w:rsidR="00A32D45" w:rsidRPr="00882976" w:rsidRDefault="001821C9" w:rsidP="00882976">
      <w:pPr>
        <w:pStyle w:val="ListParagraph"/>
        <w:numPr>
          <w:ilvl w:val="0"/>
          <w:numId w:val="28"/>
        </w:numPr>
        <w:autoSpaceDE/>
        <w:autoSpaceDN/>
        <w:adjustRightInd/>
        <w:spacing w:after="160" w:line="259" w:lineRule="auto"/>
        <w:jc w:val="left"/>
        <w:rPr>
          <w:rFonts w:cs="Arial"/>
        </w:rPr>
      </w:pPr>
      <w:r w:rsidRPr="00882976">
        <w:rPr>
          <w:rFonts w:cs="Arial"/>
        </w:rPr>
        <w:t>Business rate income from D</w:t>
      </w:r>
      <w:r w:rsidR="00A32D45" w:rsidRPr="00882976">
        <w:rPr>
          <w:rFonts w:cs="Arial"/>
        </w:rPr>
        <w:t>istrict</w:t>
      </w:r>
      <w:r w:rsidRPr="00882976">
        <w:rPr>
          <w:rFonts w:cs="Arial"/>
        </w:rPr>
        <w:t xml:space="preserve"> Councils</w:t>
      </w:r>
    </w:p>
    <w:p w14:paraId="1D59BB07" w14:textId="60489F9C" w:rsidR="00A32D45" w:rsidRPr="00882976" w:rsidRDefault="001821C9" w:rsidP="00882976">
      <w:pPr>
        <w:pStyle w:val="ListParagraph"/>
        <w:numPr>
          <w:ilvl w:val="0"/>
          <w:numId w:val="28"/>
        </w:numPr>
        <w:autoSpaceDE/>
        <w:autoSpaceDN/>
        <w:adjustRightInd/>
        <w:spacing w:after="160" w:line="259" w:lineRule="auto"/>
        <w:jc w:val="left"/>
        <w:rPr>
          <w:rFonts w:cs="Arial"/>
        </w:rPr>
      </w:pPr>
      <w:r w:rsidRPr="00882976">
        <w:rPr>
          <w:rFonts w:cs="Arial"/>
        </w:rPr>
        <w:t>Section 31 g</w:t>
      </w:r>
      <w:r w:rsidR="00A32D45" w:rsidRPr="00882976">
        <w:rPr>
          <w:rFonts w:cs="Arial"/>
        </w:rPr>
        <w:t>rants</w:t>
      </w:r>
    </w:p>
    <w:p w14:paraId="1668CF51" w14:textId="0C4B1C62" w:rsidR="00A32D45" w:rsidRPr="00882976" w:rsidRDefault="00A32D45" w:rsidP="001821C9">
      <w:pPr>
        <w:spacing w:after="0"/>
        <w:rPr>
          <w:rFonts w:cs="Arial"/>
        </w:rPr>
      </w:pPr>
      <w:r w:rsidRPr="00882976">
        <w:rPr>
          <w:rFonts w:cs="Arial"/>
        </w:rPr>
        <w:t xml:space="preserve">As shown in the table </w:t>
      </w:r>
      <w:r w:rsidR="001821C9" w:rsidRPr="00882976">
        <w:rPr>
          <w:rFonts w:cs="Arial"/>
        </w:rPr>
        <w:t>above detailing the S</w:t>
      </w:r>
      <w:r w:rsidRPr="00882976">
        <w:rPr>
          <w:rFonts w:cs="Arial"/>
        </w:rPr>
        <w:t xml:space="preserve">FA the business rate income is a significant portion of funding </w:t>
      </w:r>
      <w:r w:rsidR="001821C9" w:rsidRPr="00882976">
        <w:rPr>
          <w:rFonts w:cs="Arial"/>
        </w:rPr>
        <w:t xml:space="preserve">to </w:t>
      </w:r>
      <w:r w:rsidRPr="00882976">
        <w:rPr>
          <w:rFonts w:cs="Arial"/>
        </w:rPr>
        <w:t xml:space="preserve">local authorities. The baseline is an assessment of the business rate income required to meet service needs. For the County Council the amount anticipated to be received from the business rates collected in the area is less than its assessed need therefore it receives a top up grant. </w:t>
      </w:r>
    </w:p>
    <w:p w14:paraId="099DB703" w14:textId="77777777" w:rsidR="001821C9" w:rsidRPr="00882976" w:rsidRDefault="001821C9" w:rsidP="001821C9">
      <w:pPr>
        <w:spacing w:after="0"/>
        <w:rPr>
          <w:rFonts w:cs="Arial"/>
        </w:rPr>
      </w:pPr>
    </w:p>
    <w:p w14:paraId="781AB8C9" w14:textId="6E26A20B" w:rsidR="00A32D45" w:rsidRPr="00882976" w:rsidRDefault="00A32D45" w:rsidP="001821C9">
      <w:pPr>
        <w:spacing w:after="0"/>
        <w:rPr>
          <w:rFonts w:cs="Arial"/>
        </w:rPr>
      </w:pPr>
      <w:r w:rsidRPr="00882976">
        <w:rPr>
          <w:rFonts w:cs="Arial"/>
        </w:rPr>
        <w:t>Unless there is change in the SFA due to the economic uncertainties referred to above; the level of the top up grant between 2017/18 and 20</w:t>
      </w:r>
      <w:r w:rsidR="00B83E72" w:rsidRPr="00882976">
        <w:rPr>
          <w:rFonts w:cs="Arial"/>
        </w:rPr>
        <w:t>20/21</w:t>
      </w:r>
      <w:r w:rsidRPr="00882976">
        <w:rPr>
          <w:rFonts w:cs="Arial"/>
        </w:rPr>
        <w:t xml:space="preserve"> is the best basis </w:t>
      </w:r>
      <w:r w:rsidR="001821C9" w:rsidRPr="00882976">
        <w:rPr>
          <w:rFonts w:cs="Arial"/>
        </w:rPr>
        <w:t xml:space="preserve">of the forecast </w:t>
      </w:r>
      <w:r w:rsidRPr="00882976">
        <w:rPr>
          <w:rFonts w:cs="Arial"/>
        </w:rPr>
        <w:t xml:space="preserve">available for business rates </w:t>
      </w:r>
      <w:r w:rsidR="001821C9" w:rsidRPr="00882976">
        <w:rPr>
          <w:rFonts w:cs="Arial"/>
        </w:rPr>
        <w:t xml:space="preserve">figures </w:t>
      </w:r>
      <w:r w:rsidRPr="00882976">
        <w:rPr>
          <w:rFonts w:cs="Arial"/>
        </w:rPr>
        <w:t>in the MTFS. There is however some degree of discretion over the locally raised amounts.</w:t>
      </w:r>
    </w:p>
    <w:p w14:paraId="64CCE7C4" w14:textId="77777777" w:rsidR="00E6630C" w:rsidRPr="00882976" w:rsidRDefault="00E6630C" w:rsidP="00E6630C">
      <w:pPr>
        <w:spacing w:after="0"/>
        <w:rPr>
          <w:rFonts w:cs="Arial"/>
        </w:rPr>
      </w:pPr>
    </w:p>
    <w:p w14:paraId="30656949" w14:textId="4BAB4D63" w:rsidR="00A32D45" w:rsidRPr="00882976" w:rsidRDefault="001821C9" w:rsidP="00E6630C">
      <w:pPr>
        <w:spacing w:after="0"/>
        <w:rPr>
          <w:rFonts w:cs="Arial"/>
        </w:rPr>
      </w:pPr>
      <w:r w:rsidRPr="00882976">
        <w:rPr>
          <w:rFonts w:cs="Arial"/>
        </w:rPr>
        <w:t>It is also possible that</w:t>
      </w:r>
      <w:r w:rsidR="00A32D45" w:rsidRPr="00882976">
        <w:rPr>
          <w:rFonts w:cs="Arial"/>
        </w:rPr>
        <w:t xml:space="preserve"> </w:t>
      </w:r>
      <w:r w:rsidRPr="00882976">
        <w:rPr>
          <w:rFonts w:cs="Arial"/>
        </w:rPr>
        <w:t xml:space="preserve">business </w:t>
      </w:r>
      <w:r w:rsidR="00A32D45" w:rsidRPr="00882976">
        <w:rPr>
          <w:rFonts w:cs="Arial"/>
        </w:rPr>
        <w:t>rate income could fall</w:t>
      </w:r>
      <w:r w:rsidRPr="00882976">
        <w:rPr>
          <w:rFonts w:cs="Arial"/>
        </w:rPr>
        <w:t>, although there is a safety n</w:t>
      </w:r>
      <w:r w:rsidR="00A32D45" w:rsidRPr="00882976">
        <w:rPr>
          <w:rFonts w:cs="Arial"/>
        </w:rPr>
        <w:t xml:space="preserve">et within the business rates retention system which ensures that no authority’s income will fall by more than a set percentage of their original baseline funding level (and this level will be increased by RPI every year). The Safety Net percentage has been set at -7.5%. </w:t>
      </w:r>
    </w:p>
    <w:p w14:paraId="79A7A7E7" w14:textId="77777777" w:rsidR="001821C9" w:rsidRPr="00882976" w:rsidRDefault="001821C9" w:rsidP="00E6630C">
      <w:pPr>
        <w:spacing w:after="0"/>
        <w:rPr>
          <w:rFonts w:cs="Arial"/>
        </w:rPr>
      </w:pPr>
    </w:p>
    <w:p w14:paraId="3D84D3B6" w14:textId="74CD754C" w:rsidR="00A32D45" w:rsidRPr="00882976" w:rsidRDefault="00A32D45" w:rsidP="00E6630C">
      <w:pPr>
        <w:spacing w:after="0"/>
        <w:rPr>
          <w:rFonts w:cs="Arial"/>
        </w:rPr>
      </w:pPr>
      <w:r w:rsidRPr="00882976">
        <w:rPr>
          <w:rFonts w:cs="Arial"/>
        </w:rPr>
        <w:t>In terms of the MTFS, whether or not to add additional income is difficult to assess. There is little local information and much will depend on the general economic performance of local areas. In addition, there are valuation appeals outstanding, some of which are on large value properties.  If successful these will have a negative impact on the abi</w:t>
      </w:r>
      <w:r w:rsidR="009113C7" w:rsidRPr="00882976">
        <w:rPr>
          <w:rFonts w:cs="Arial"/>
        </w:rPr>
        <w:t>lity to generate business rates</w:t>
      </w:r>
      <w:r w:rsidRPr="00882976">
        <w:rPr>
          <w:rFonts w:cs="Arial"/>
        </w:rPr>
        <w:t>.</w:t>
      </w:r>
    </w:p>
    <w:p w14:paraId="05C499D2" w14:textId="77777777" w:rsidR="001821C9" w:rsidRPr="00882976" w:rsidRDefault="001821C9" w:rsidP="001821C9">
      <w:pPr>
        <w:spacing w:after="0"/>
        <w:rPr>
          <w:rFonts w:cs="Arial"/>
        </w:rPr>
      </w:pPr>
    </w:p>
    <w:p w14:paraId="2BBABDD1" w14:textId="18374A64" w:rsidR="00A32D45" w:rsidRPr="00882976" w:rsidRDefault="00A32D45" w:rsidP="001821C9">
      <w:pPr>
        <w:spacing w:after="0"/>
        <w:rPr>
          <w:rFonts w:cs="Arial"/>
        </w:rPr>
      </w:pPr>
      <w:r w:rsidRPr="00882976">
        <w:rPr>
          <w:rFonts w:cs="Arial"/>
        </w:rPr>
        <w:t>The baseline data already assumes an increase in income derived from local business rates. Therefore given the economic uncertainty</w:t>
      </w:r>
      <w:r w:rsidR="009113C7" w:rsidRPr="00882976">
        <w:rPr>
          <w:rFonts w:cs="Arial"/>
        </w:rPr>
        <w:t xml:space="preserve"> forecast income has been </w:t>
      </w:r>
      <w:r w:rsidRPr="00882976">
        <w:rPr>
          <w:rFonts w:cs="Arial"/>
        </w:rPr>
        <w:t>maintain</w:t>
      </w:r>
      <w:r w:rsidR="009113C7" w:rsidRPr="00882976">
        <w:rPr>
          <w:rFonts w:cs="Arial"/>
        </w:rPr>
        <w:t xml:space="preserve">ed at </w:t>
      </w:r>
      <w:r w:rsidRPr="00882976">
        <w:rPr>
          <w:rFonts w:cs="Arial"/>
        </w:rPr>
        <w:t xml:space="preserve">the baseline funding </w:t>
      </w:r>
      <w:r w:rsidR="009113C7" w:rsidRPr="00882976">
        <w:rPr>
          <w:rFonts w:cs="Arial"/>
        </w:rPr>
        <w:t>level</w:t>
      </w:r>
      <w:r w:rsidRPr="00882976">
        <w:rPr>
          <w:rFonts w:cs="Arial"/>
        </w:rPr>
        <w:t>.</w:t>
      </w:r>
    </w:p>
    <w:p w14:paraId="624DD25F" w14:textId="77777777" w:rsidR="001821C9" w:rsidRPr="00882976" w:rsidRDefault="001821C9" w:rsidP="001821C9">
      <w:pPr>
        <w:spacing w:after="0"/>
        <w:rPr>
          <w:rFonts w:cs="Arial"/>
        </w:rPr>
      </w:pPr>
    </w:p>
    <w:p w14:paraId="3610C674" w14:textId="2D62A870" w:rsidR="00A32D45" w:rsidRPr="00882976" w:rsidRDefault="00A32D45" w:rsidP="001821C9">
      <w:pPr>
        <w:spacing w:after="0"/>
        <w:rPr>
          <w:rFonts w:cs="Arial"/>
        </w:rPr>
      </w:pPr>
      <w:r w:rsidRPr="00882976">
        <w:rPr>
          <w:rFonts w:cs="Arial"/>
        </w:rPr>
        <w:t xml:space="preserve">In </w:t>
      </w:r>
      <w:r w:rsidR="001821C9" w:rsidRPr="00882976">
        <w:rPr>
          <w:rFonts w:cs="Arial"/>
        </w:rPr>
        <w:t xml:space="preserve">2015/16 </w:t>
      </w:r>
      <w:r w:rsidRPr="00882976">
        <w:rPr>
          <w:rFonts w:cs="Arial"/>
        </w:rPr>
        <w:t xml:space="preserve">the Government compensated authorities for the cost of a number of measures introduced by the Government. These </w:t>
      </w:r>
      <w:r w:rsidR="001821C9" w:rsidRPr="00882976">
        <w:rPr>
          <w:rFonts w:cs="Arial"/>
        </w:rPr>
        <w:t>were</w:t>
      </w:r>
      <w:r w:rsidRPr="00882976">
        <w:rPr>
          <w:rFonts w:cs="Arial"/>
        </w:rPr>
        <w:t xml:space="preserve"> the multiplier cap, the temporary doubling of small business rates relief, the temporary maintenance of small business rate relief when a second property is occupied, relief given to newly built properties whilst they are empty (herein after referred to as “new empty” property relief), relief given to long-term empty property brought into occupation (“long-term empty relief”), retail relief, flooding relief and payments made in lieu of transitional relief. Compensation is provided by means of a grant paid under Section 31 of the Local Government Act 2003 and the County Council has been notified that its S31 </w:t>
      </w:r>
      <w:r w:rsidRPr="00882976">
        <w:rPr>
          <w:rFonts w:cs="Arial"/>
        </w:rPr>
        <w:lastRenderedPageBreak/>
        <w:t xml:space="preserve">grant in 2016/17 is £3.992m. There is no information in respect of future years but the main elements of the grant relate to the multiplier cap and the doubling of the small business rate relief. </w:t>
      </w:r>
    </w:p>
    <w:p w14:paraId="1335C8E1" w14:textId="77777777" w:rsidR="001821C9" w:rsidRPr="00882976" w:rsidRDefault="001821C9" w:rsidP="001821C9">
      <w:pPr>
        <w:spacing w:after="0"/>
        <w:rPr>
          <w:rFonts w:cs="Arial"/>
        </w:rPr>
      </w:pPr>
    </w:p>
    <w:p w14:paraId="2999C571" w14:textId="24FE4D4E" w:rsidR="00DE650E" w:rsidRPr="00882976" w:rsidRDefault="00A32D45" w:rsidP="001821C9">
      <w:pPr>
        <w:spacing w:after="0"/>
        <w:rPr>
          <w:rFonts w:cs="Arial"/>
        </w:rPr>
      </w:pPr>
      <w:r w:rsidRPr="00882976">
        <w:rPr>
          <w:rFonts w:cs="Arial"/>
        </w:rPr>
        <w:t>Assuming that the reliefs continue the impact of the multiplier cap is likely to rise with inflation as without the cap the income would have increased. Other reliefs are more likely to relate to the change in the business rate base.</w:t>
      </w:r>
      <w:r w:rsidR="008A5C96" w:rsidRPr="00882976">
        <w:rPr>
          <w:rFonts w:cs="Arial"/>
        </w:rPr>
        <w:t xml:space="preserve"> It has been assumed that the level of S31 grants is maintained at the current level</w:t>
      </w:r>
      <w:r w:rsidRPr="00882976">
        <w:rPr>
          <w:rFonts w:cs="Arial"/>
        </w:rPr>
        <w:t>.</w:t>
      </w:r>
    </w:p>
    <w:p w14:paraId="3546C3C0" w14:textId="77777777" w:rsidR="00A32D45" w:rsidRPr="00882976" w:rsidRDefault="00A32D45" w:rsidP="00A32D45">
      <w:pPr>
        <w:rPr>
          <w:rFonts w:cs="Arial"/>
        </w:rPr>
      </w:pPr>
    </w:p>
    <w:p w14:paraId="39718433" w14:textId="4A051449" w:rsidR="00DE650E" w:rsidRDefault="00A32D45" w:rsidP="005F59F9">
      <w:pPr>
        <w:spacing w:after="0"/>
        <w:rPr>
          <w:rFonts w:cs="Arial"/>
        </w:rPr>
      </w:pPr>
      <w:r w:rsidRPr="00882976">
        <w:rPr>
          <w:rFonts w:cs="Arial"/>
        </w:rPr>
        <w:t>The final aspect of the business rate forecast is the pooling arrangement. The 2016/17 budget includes an additional £0.4</w:t>
      </w:r>
      <w:r w:rsidR="00D81A94" w:rsidRPr="00882976">
        <w:rPr>
          <w:rFonts w:cs="Arial"/>
        </w:rPr>
        <w:t>00</w:t>
      </w:r>
      <w:r w:rsidRPr="00882976">
        <w:rPr>
          <w:rFonts w:cs="Arial"/>
        </w:rPr>
        <w:t xml:space="preserve">m due from the pooling arrangement. The pool is a one year arrangement. </w:t>
      </w:r>
      <w:r w:rsidR="005F59F9">
        <w:rPr>
          <w:rFonts w:cs="Arial"/>
        </w:rPr>
        <w:t xml:space="preserve">It is expected that this arrangement will continue, however until this has been confirmed this has not been built into the MTFS for 2017/18. </w:t>
      </w:r>
    </w:p>
    <w:p w14:paraId="5D7D722A" w14:textId="77777777" w:rsidR="005F59F9" w:rsidRPr="00882976" w:rsidRDefault="005F59F9" w:rsidP="005F59F9">
      <w:pPr>
        <w:spacing w:after="0"/>
        <w:rPr>
          <w:rFonts w:cs="Arial"/>
        </w:rPr>
      </w:pPr>
    </w:p>
    <w:p w14:paraId="7AAB0AD6" w14:textId="77777777" w:rsidR="00A32D45" w:rsidRPr="00882976" w:rsidRDefault="00A32D45" w:rsidP="005F59F9">
      <w:pPr>
        <w:spacing w:after="0"/>
        <w:rPr>
          <w:rFonts w:cs="Arial"/>
          <w:b/>
          <w:u w:val="single"/>
        </w:rPr>
      </w:pPr>
      <w:r w:rsidRPr="00882976">
        <w:rPr>
          <w:rFonts w:cs="Arial"/>
          <w:b/>
          <w:u w:val="single"/>
        </w:rPr>
        <w:t>Council Tax</w:t>
      </w:r>
    </w:p>
    <w:p w14:paraId="42854D60" w14:textId="77777777" w:rsidR="008676D4" w:rsidRPr="00882976" w:rsidRDefault="008676D4" w:rsidP="008676D4">
      <w:pPr>
        <w:spacing w:after="0"/>
        <w:rPr>
          <w:rFonts w:cs="Arial"/>
          <w:b/>
          <w:u w:val="single"/>
        </w:rPr>
      </w:pPr>
    </w:p>
    <w:p w14:paraId="1047B6DC" w14:textId="733F0E6B" w:rsidR="003F76DE" w:rsidRPr="00882976" w:rsidRDefault="00B83E72" w:rsidP="003F76DE">
      <w:pPr>
        <w:spacing w:after="0"/>
        <w:rPr>
          <w:rFonts w:cs="Arial"/>
        </w:rPr>
      </w:pPr>
      <w:r w:rsidRPr="00882976">
        <w:rPr>
          <w:rFonts w:cs="Arial"/>
        </w:rPr>
        <w:t>The MTFS presented to Cabinet in September included the ass</w:t>
      </w:r>
      <w:r w:rsidR="008A5C96" w:rsidRPr="00882976">
        <w:rPr>
          <w:rFonts w:cs="Arial"/>
        </w:rPr>
        <w:t>umption that</w:t>
      </w:r>
      <w:r w:rsidR="003F76DE" w:rsidRPr="00882976">
        <w:rPr>
          <w:rFonts w:cs="Arial"/>
        </w:rPr>
        <w:t xml:space="preserve"> Council Tax would increase by 3.99% per annum which is the current referendum limit; although it is important to note that this has not been confirmed for future years. </w:t>
      </w:r>
    </w:p>
    <w:p w14:paraId="2A3EC61A" w14:textId="77777777" w:rsidR="003F76DE" w:rsidRPr="00882976" w:rsidRDefault="003F76DE" w:rsidP="003F76DE">
      <w:pPr>
        <w:spacing w:after="0"/>
        <w:rPr>
          <w:rFonts w:cs="Arial"/>
        </w:rPr>
      </w:pPr>
    </w:p>
    <w:p w14:paraId="4542A56B" w14:textId="1DBAA863" w:rsidR="003F76DE" w:rsidRPr="00882976" w:rsidRDefault="003F76DE" w:rsidP="003F76DE">
      <w:pPr>
        <w:spacing w:after="0"/>
        <w:rPr>
          <w:rFonts w:cs="Arial"/>
        </w:rPr>
      </w:pPr>
      <w:r w:rsidRPr="00882976">
        <w:rPr>
          <w:rFonts w:cs="Arial"/>
        </w:rPr>
        <w:t xml:space="preserve">The MTFS </w:t>
      </w:r>
      <w:r w:rsidR="00DE650E" w:rsidRPr="00882976">
        <w:rPr>
          <w:rFonts w:cs="Arial"/>
        </w:rPr>
        <w:t xml:space="preserve">last presented to Cabinet </w:t>
      </w:r>
      <w:r w:rsidR="00B83E72" w:rsidRPr="00882976">
        <w:rPr>
          <w:rFonts w:cs="Arial"/>
        </w:rPr>
        <w:t xml:space="preserve">also </w:t>
      </w:r>
      <w:r w:rsidR="00DE650E" w:rsidRPr="00882976">
        <w:rPr>
          <w:rFonts w:cs="Arial"/>
        </w:rPr>
        <w:t>assumed</w:t>
      </w:r>
      <w:r w:rsidRPr="00882976">
        <w:rPr>
          <w:rFonts w:cs="Arial"/>
        </w:rPr>
        <w:t xml:space="preserve"> </w:t>
      </w:r>
      <w:r w:rsidR="00B83E72" w:rsidRPr="00882976">
        <w:rPr>
          <w:rFonts w:cs="Arial"/>
        </w:rPr>
        <w:t xml:space="preserve">increased the tax base year on year by 1%, as this level of growth would seem to be reasonable given the economy is growing, and also with the City Deal impacting on the number of households that will be paying Council Tax. </w:t>
      </w:r>
    </w:p>
    <w:p w14:paraId="0D7F556B" w14:textId="77777777" w:rsidR="00C5336D" w:rsidRPr="00882976" w:rsidRDefault="00C5336D" w:rsidP="008676D4">
      <w:pPr>
        <w:spacing w:after="0"/>
        <w:rPr>
          <w:rFonts w:cs="Arial"/>
        </w:rPr>
      </w:pPr>
    </w:p>
    <w:p w14:paraId="2C4EA299" w14:textId="1CDA9125" w:rsidR="00A32D45" w:rsidRPr="00882976" w:rsidRDefault="00A32D45" w:rsidP="008676D4">
      <w:pPr>
        <w:spacing w:after="0"/>
        <w:rPr>
          <w:rFonts w:cs="Arial"/>
        </w:rPr>
      </w:pPr>
      <w:r w:rsidRPr="00882976">
        <w:rPr>
          <w:rFonts w:cs="Arial"/>
        </w:rPr>
        <w:t>Recent tax base data are:</w:t>
      </w:r>
    </w:p>
    <w:p w14:paraId="5FC09D60" w14:textId="77777777" w:rsidR="00A32D45" w:rsidRPr="00882976" w:rsidRDefault="00A32D45" w:rsidP="00A32D45">
      <w:pPr>
        <w:rPr>
          <w:rFonts w:cs="Arial"/>
        </w:rPr>
      </w:pPr>
    </w:p>
    <w:tbl>
      <w:tblPr>
        <w:tblStyle w:val="TableGrid"/>
        <w:tblW w:w="0" w:type="auto"/>
        <w:jc w:val="center"/>
        <w:tblLook w:val="04A0" w:firstRow="1" w:lastRow="0" w:firstColumn="1" w:lastColumn="0" w:noHBand="0" w:noVBand="1"/>
      </w:tblPr>
      <w:tblGrid>
        <w:gridCol w:w="2263"/>
        <w:gridCol w:w="2268"/>
        <w:gridCol w:w="2410"/>
      </w:tblGrid>
      <w:tr w:rsidR="00A32D45" w:rsidRPr="00882976" w14:paraId="6B1FFDD0" w14:textId="77777777" w:rsidTr="005C03EB">
        <w:trPr>
          <w:jc w:val="center"/>
        </w:trPr>
        <w:tc>
          <w:tcPr>
            <w:tcW w:w="2263" w:type="dxa"/>
            <w:shd w:val="clear" w:color="auto" w:fill="A6A6A6" w:themeFill="background1" w:themeFillShade="A6"/>
          </w:tcPr>
          <w:p w14:paraId="7B6244E3" w14:textId="77777777" w:rsidR="00A32D45" w:rsidRPr="00882976" w:rsidRDefault="00A32D45" w:rsidP="00AC67F1">
            <w:pPr>
              <w:rPr>
                <w:rFonts w:cs="Arial"/>
              </w:rPr>
            </w:pPr>
          </w:p>
        </w:tc>
        <w:tc>
          <w:tcPr>
            <w:tcW w:w="2268" w:type="dxa"/>
            <w:shd w:val="clear" w:color="auto" w:fill="A6A6A6" w:themeFill="background1" w:themeFillShade="A6"/>
          </w:tcPr>
          <w:p w14:paraId="03F9B094" w14:textId="77777777" w:rsidR="00A32D45" w:rsidRPr="00882976" w:rsidRDefault="00A32D45" w:rsidP="00AC67F1">
            <w:pPr>
              <w:jc w:val="center"/>
              <w:rPr>
                <w:rFonts w:cs="Arial"/>
                <w:b/>
              </w:rPr>
            </w:pPr>
            <w:r w:rsidRPr="00882976">
              <w:rPr>
                <w:rFonts w:cs="Arial"/>
                <w:b/>
              </w:rPr>
              <w:t>Tax base</w:t>
            </w:r>
          </w:p>
        </w:tc>
        <w:tc>
          <w:tcPr>
            <w:tcW w:w="2410" w:type="dxa"/>
            <w:shd w:val="clear" w:color="auto" w:fill="A6A6A6" w:themeFill="background1" w:themeFillShade="A6"/>
          </w:tcPr>
          <w:p w14:paraId="1CF7D7D6" w14:textId="77777777" w:rsidR="00A32D45" w:rsidRPr="00882976" w:rsidRDefault="00A32D45" w:rsidP="00AC67F1">
            <w:pPr>
              <w:jc w:val="center"/>
              <w:rPr>
                <w:rFonts w:cs="Arial"/>
                <w:b/>
              </w:rPr>
            </w:pPr>
            <w:r w:rsidRPr="00882976">
              <w:rPr>
                <w:rFonts w:cs="Arial"/>
                <w:b/>
              </w:rPr>
              <w:t>% change</w:t>
            </w:r>
          </w:p>
        </w:tc>
      </w:tr>
      <w:tr w:rsidR="00A32D45" w:rsidRPr="00882976" w14:paraId="74039D0F" w14:textId="77777777" w:rsidTr="00AC67F1">
        <w:trPr>
          <w:jc w:val="center"/>
        </w:trPr>
        <w:tc>
          <w:tcPr>
            <w:tcW w:w="2263" w:type="dxa"/>
          </w:tcPr>
          <w:p w14:paraId="455902EF" w14:textId="77777777" w:rsidR="00A32D45" w:rsidRPr="00882976" w:rsidRDefault="00A32D45" w:rsidP="00AC67F1">
            <w:pPr>
              <w:jc w:val="center"/>
              <w:rPr>
                <w:rFonts w:cs="Arial"/>
                <w:b/>
              </w:rPr>
            </w:pPr>
            <w:r w:rsidRPr="00882976">
              <w:rPr>
                <w:rFonts w:cs="Arial"/>
                <w:b/>
              </w:rPr>
              <w:t>2010/11</w:t>
            </w:r>
          </w:p>
        </w:tc>
        <w:tc>
          <w:tcPr>
            <w:tcW w:w="2268" w:type="dxa"/>
          </w:tcPr>
          <w:p w14:paraId="02D253BC" w14:textId="77777777" w:rsidR="00A32D45" w:rsidRPr="00882976" w:rsidRDefault="00A32D45" w:rsidP="00AC67F1">
            <w:pPr>
              <w:jc w:val="right"/>
              <w:rPr>
                <w:rFonts w:cs="Arial"/>
              </w:rPr>
            </w:pPr>
            <w:r w:rsidRPr="00882976">
              <w:rPr>
                <w:rFonts w:cs="Arial"/>
              </w:rPr>
              <w:t>382,201</w:t>
            </w:r>
          </w:p>
        </w:tc>
        <w:tc>
          <w:tcPr>
            <w:tcW w:w="2410" w:type="dxa"/>
          </w:tcPr>
          <w:p w14:paraId="59E2FCA8" w14:textId="77777777" w:rsidR="00A32D45" w:rsidRPr="00882976" w:rsidRDefault="00A32D45" w:rsidP="00AC67F1">
            <w:pPr>
              <w:rPr>
                <w:rFonts w:cs="Arial"/>
              </w:rPr>
            </w:pPr>
          </w:p>
        </w:tc>
      </w:tr>
      <w:tr w:rsidR="00A32D45" w:rsidRPr="00882976" w14:paraId="62F3F214" w14:textId="77777777" w:rsidTr="00AC67F1">
        <w:trPr>
          <w:jc w:val="center"/>
        </w:trPr>
        <w:tc>
          <w:tcPr>
            <w:tcW w:w="2263" w:type="dxa"/>
          </w:tcPr>
          <w:p w14:paraId="49AD4C19" w14:textId="77777777" w:rsidR="00A32D45" w:rsidRPr="00882976" w:rsidRDefault="00A32D45" w:rsidP="00AC67F1">
            <w:pPr>
              <w:jc w:val="center"/>
              <w:rPr>
                <w:rFonts w:cs="Arial"/>
                <w:b/>
              </w:rPr>
            </w:pPr>
            <w:r w:rsidRPr="00882976">
              <w:rPr>
                <w:rFonts w:cs="Arial"/>
                <w:b/>
              </w:rPr>
              <w:t>2011/12</w:t>
            </w:r>
          </w:p>
        </w:tc>
        <w:tc>
          <w:tcPr>
            <w:tcW w:w="2268" w:type="dxa"/>
          </w:tcPr>
          <w:p w14:paraId="184D3A78" w14:textId="77777777" w:rsidR="00A32D45" w:rsidRPr="00882976" w:rsidRDefault="00A32D45" w:rsidP="00AC67F1">
            <w:pPr>
              <w:jc w:val="right"/>
              <w:rPr>
                <w:rFonts w:cs="Arial"/>
              </w:rPr>
            </w:pPr>
            <w:r w:rsidRPr="00882976">
              <w:rPr>
                <w:rFonts w:cs="Arial"/>
              </w:rPr>
              <w:t>383,227</w:t>
            </w:r>
          </w:p>
        </w:tc>
        <w:tc>
          <w:tcPr>
            <w:tcW w:w="2410" w:type="dxa"/>
          </w:tcPr>
          <w:p w14:paraId="65C8C9D6" w14:textId="77777777" w:rsidR="00A32D45" w:rsidRPr="00882976" w:rsidRDefault="00A32D45" w:rsidP="00AC67F1">
            <w:pPr>
              <w:jc w:val="right"/>
              <w:rPr>
                <w:rFonts w:cs="Arial"/>
              </w:rPr>
            </w:pPr>
            <w:r w:rsidRPr="00882976">
              <w:rPr>
                <w:rFonts w:cs="Arial"/>
              </w:rPr>
              <w:t>0.27</w:t>
            </w:r>
          </w:p>
        </w:tc>
      </w:tr>
      <w:tr w:rsidR="00A32D45" w:rsidRPr="00882976" w14:paraId="68F87EB8" w14:textId="77777777" w:rsidTr="00AC67F1">
        <w:trPr>
          <w:jc w:val="center"/>
        </w:trPr>
        <w:tc>
          <w:tcPr>
            <w:tcW w:w="2263" w:type="dxa"/>
          </w:tcPr>
          <w:p w14:paraId="439AD337" w14:textId="77777777" w:rsidR="00A32D45" w:rsidRPr="00882976" w:rsidRDefault="00A32D45" w:rsidP="00AC67F1">
            <w:pPr>
              <w:jc w:val="center"/>
              <w:rPr>
                <w:rFonts w:cs="Arial"/>
                <w:b/>
              </w:rPr>
            </w:pPr>
            <w:r w:rsidRPr="00882976">
              <w:rPr>
                <w:rFonts w:cs="Arial"/>
                <w:b/>
              </w:rPr>
              <w:t>2012/13</w:t>
            </w:r>
          </w:p>
        </w:tc>
        <w:tc>
          <w:tcPr>
            <w:tcW w:w="2268" w:type="dxa"/>
          </w:tcPr>
          <w:p w14:paraId="25A5B8AD" w14:textId="77777777" w:rsidR="00A32D45" w:rsidRPr="00882976" w:rsidRDefault="00A32D45" w:rsidP="00AC67F1">
            <w:pPr>
              <w:jc w:val="right"/>
              <w:rPr>
                <w:rFonts w:cs="Arial"/>
              </w:rPr>
            </w:pPr>
            <w:r w:rsidRPr="00882976">
              <w:rPr>
                <w:rFonts w:cs="Arial"/>
              </w:rPr>
              <w:t>383,703</w:t>
            </w:r>
          </w:p>
        </w:tc>
        <w:tc>
          <w:tcPr>
            <w:tcW w:w="2410" w:type="dxa"/>
          </w:tcPr>
          <w:p w14:paraId="61AA9A90" w14:textId="77777777" w:rsidR="00A32D45" w:rsidRPr="00882976" w:rsidRDefault="00A32D45" w:rsidP="00AC67F1">
            <w:pPr>
              <w:jc w:val="right"/>
              <w:rPr>
                <w:rFonts w:cs="Arial"/>
              </w:rPr>
            </w:pPr>
            <w:r w:rsidRPr="00882976">
              <w:rPr>
                <w:rFonts w:cs="Arial"/>
              </w:rPr>
              <w:t>0.12</w:t>
            </w:r>
          </w:p>
        </w:tc>
      </w:tr>
      <w:tr w:rsidR="00A32D45" w:rsidRPr="00882976" w14:paraId="1281BE17" w14:textId="77777777" w:rsidTr="00AC67F1">
        <w:trPr>
          <w:jc w:val="center"/>
        </w:trPr>
        <w:tc>
          <w:tcPr>
            <w:tcW w:w="2263" w:type="dxa"/>
          </w:tcPr>
          <w:p w14:paraId="20225514" w14:textId="77777777" w:rsidR="00A32D45" w:rsidRPr="00882976" w:rsidRDefault="00A32D45" w:rsidP="00AC67F1">
            <w:pPr>
              <w:jc w:val="center"/>
              <w:rPr>
                <w:rFonts w:cs="Arial"/>
                <w:b/>
              </w:rPr>
            </w:pPr>
            <w:r w:rsidRPr="00882976">
              <w:rPr>
                <w:rFonts w:cs="Arial"/>
                <w:b/>
              </w:rPr>
              <w:t>2013/14</w:t>
            </w:r>
          </w:p>
        </w:tc>
        <w:tc>
          <w:tcPr>
            <w:tcW w:w="2268" w:type="dxa"/>
          </w:tcPr>
          <w:p w14:paraId="602699E2" w14:textId="6BA8D8F9" w:rsidR="00A32D45" w:rsidRPr="00882976" w:rsidRDefault="00A32D45" w:rsidP="00016010">
            <w:pPr>
              <w:jc w:val="right"/>
              <w:rPr>
                <w:rFonts w:cs="Arial"/>
              </w:rPr>
            </w:pPr>
            <w:r w:rsidRPr="00882976">
              <w:rPr>
                <w:rFonts w:cs="Arial"/>
              </w:rPr>
              <w:t>331,64</w:t>
            </w:r>
            <w:r w:rsidR="00016010" w:rsidRPr="00882976">
              <w:rPr>
                <w:rFonts w:cs="Arial"/>
              </w:rPr>
              <w:t>8</w:t>
            </w:r>
          </w:p>
        </w:tc>
        <w:tc>
          <w:tcPr>
            <w:tcW w:w="2410" w:type="dxa"/>
          </w:tcPr>
          <w:p w14:paraId="43EA6717" w14:textId="77777777" w:rsidR="00A32D45" w:rsidRPr="00882976" w:rsidRDefault="00A32D45" w:rsidP="00AC67F1">
            <w:pPr>
              <w:jc w:val="right"/>
              <w:rPr>
                <w:rFonts w:cs="Arial"/>
              </w:rPr>
            </w:pPr>
            <w:r w:rsidRPr="00882976">
              <w:rPr>
                <w:rFonts w:cs="Arial"/>
              </w:rPr>
              <w:t>-13.57</w:t>
            </w:r>
          </w:p>
        </w:tc>
      </w:tr>
      <w:tr w:rsidR="00A32D45" w:rsidRPr="00882976" w14:paraId="7DFD6276" w14:textId="77777777" w:rsidTr="00AC67F1">
        <w:trPr>
          <w:jc w:val="center"/>
        </w:trPr>
        <w:tc>
          <w:tcPr>
            <w:tcW w:w="2263" w:type="dxa"/>
          </w:tcPr>
          <w:p w14:paraId="16663EF1" w14:textId="77777777" w:rsidR="00A32D45" w:rsidRPr="00882976" w:rsidRDefault="00A32D45" w:rsidP="00AC67F1">
            <w:pPr>
              <w:jc w:val="center"/>
              <w:rPr>
                <w:rFonts w:cs="Arial"/>
                <w:b/>
              </w:rPr>
            </w:pPr>
            <w:r w:rsidRPr="00882976">
              <w:rPr>
                <w:rFonts w:cs="Arial"/>
                <w:b/>
              </w:rPr>
              <w:t>2014/15</w:t>
            </w:r>
          </w:p>
        </w:tc>
        <w:tc>
          <w:tcPr>
            <w:tcW w:w="2268" w:type="dxa"/>
          </w:tcPr>
          <w:p w14:paraId="6B895B12" w14:textId="0EFF3AC9" w:rsidR="00A32D45" w:rsidRPr="00882976" w:rsidRDefault="00A32D45" w:rsidP="00016010">
            <w:pPr>
              <w:jc w:val="right"/>
              <w:rPr>
                <w:rFonts w:cs="Arial"/>
              </w:rPr>
            </w:pPr>
            <w:r w:rsidRPr="00882976">
              <w:rPr>
                <w:rFonts w:cs="Arial"/>
              </w:rPr>
              <w:t>336,0</w:t>
            </w:r>
            <w:r w:rsidR="00016010" w:rsidRPr="00882976">
              <w:rPr>
                <w:rFonts w:cs="Arial"/>
              </w:rPr>
              <w:t>50</w:t>
            </w:r>
          </w:p>
        </w:tc>
        <w:tc>
          <w:tcPr>
            <w:tcW w:w="2410" w:type="dxa"/>
          </w:tcPr>
          <w:p w14:paraId="0F77B23C" w14:textId="77777777" w:rsidR="00A32D45" w:rsidRPr="00882976" w:rsidRDefault="00A32D45" w:rsidP="00AC67F1">
            <w:pPr>
              <w:jc w:val="right"/>
              <w:rPr>
                <w:rFonts w:cs="Arial"/>
              </w:rPr>
            </w:pPr>
            <w:r w:rsidRPr="00882976">
              <w:rPr>
                <w:rFonts w:cs="Arial"/>
              </w:rPr>
              <w:t>1.33</w:t>
            </w:r>
          </w:p>
        </w:tc>
      </w:tr>
      <w:tr w:rsidR="00A32D45" w:rsidRPr="00882976" w14:paraId="608573EC" w14:textId="77777777" w:rsidTr="00AC67F1">
        <w:trPr>
          <w:jc w:val="center"/>
        </w:trPr>
        <w:tc>
          <w:tcPr>
            <w:tcW w:w="2263" w:type="dxa"/>
          </w:tcPr>
          <w:p w14:paraId="7CB751AF" w14:textId="77777777" w:rsidR="00A32D45" w:rsidRPr="00882976" w:rsidRDefault="00A32D45" w:rsidP="00AC67F1">
            <w:pPr>
              <w:jc w:val="center"/>
              <w:rPr>
                <w:rFonts w:cs="Arial"/>
                <w:b/>
              </w:rPr>
            </w:pPr>
            <w:r w:rsidRPr="00882976">
              <w:rPr>
                <w:rFonts w:cs="Arial"/>
                <w:b/>
              </w:rPr>
              <w:t>2015/16</w:t>
            </w:r>
          </w:p>
        </w:tc>
        <w:tc>
          <w:tcPr>
            <w:tcW w:w="2268" w:type="dxa"/>
          </w:tcPr>
          <w:p w14:paraId="1FC59A7E" w14:textId="4FCF9BCD" w:rsidR="00A32D45" w:rsidRPr="00882976" w:rsidRDefault="00A32D45" w:rsidP="00016010">
            <w:pPr>
              <w:jc w:val="right"/>
              <w:rPr>
                <w:rFonts w:cs="Arial"/>
              </w:rPr>
            </w:pPr>
            <w:r w:rsidRPr="00882976">
              <w:rPr>
                <w:rFonts w:cs="Arial"/>
              </w:rPr>
              <w:t>342,636</w:t>
            </w:r>
          </w:p>
        </w:tc>
        <w:tc>
          <w:tcPr>
            <w:tcW w:w="2410" w:type="dxa"/>
          </w:tcPr>
          <w:p w14:paraId="7AC4873F" w14:textId="77777777" w:rsidR="00A32D45" w:rsidRPr="00882976" w:rsidRDefault="00A32D45" w:rsidP="00AC67F1">
            <w:pPr>
              <w:jc w:val="right"/>
              <w:rPr>
                <w:rFonts w:cs="Arial"/>
              </w:rPr>
            </w:pPr>
            <w:r w:rsidRPr="00882976">
              <w:rPr>
                <w:rFonts w:cs="Arial"/>
              </w:rPr>
              <w:t>1.96</w:t>
            </w:r>
          </w:p>
        </w:tc>
      </w:tr>
      <w:tr w:rsidR="00A32D45" w:rsidRPr="00882976" w14:paraId="0CBE8B68" w14:textId="77777777" w:rsidTr="00AC67F1">
        <w:trPr>
          <w:jc w:val="center"/>
        </w:trPr>
        <w:tc>
          <w:tcPr>
            <w:tcW w:w="2263" w:type="dxa"/>
          </w:tcPr>
          <w:p w14:paraId="7ABCFE45" w14:textId="77777777" w:rsidR="00A32D45" w:rsidRPr="00882976" w:rsidRDefault="00A32D45" w:rsidP="00AC67F1">
            <w:pPr>
              <w:jc w:val="center"/>
              <w:rPr>
                <w:rFonts w:cs="Arial"/>
                <w:b/>
              </w:rPr>
            </w:pPr>
            <w:r w:rsidRPr="00882976">
              <w:rPr>
                <w:rFonts w:cs="Arial"/>
                <w:b/>
              </w:rPr>
              <w:t>2016/17</w:t>
            </w:r>
          </w:p>
        </w:tc>
        <w:tc>
          <w:tcPr>
            <w:tcW w:w="2268" w:type="dxa"/>
          </w:tcPr>
          <w:p w14:paraId="3F739F98" w14:textId="74EECB9D" w:rsidR="00A32D45" w:rsidRPr="00882976" w:rsidRDefault="00A32D45" w:rsidP="00016010">
            <w:pPr>
              <w:jc w:val="right"/>
              <w:rPr>
                <w:rFonts w:cs="Arial"/>
              </w:rPr>
            </w:pPr>
            <w:r w:rsidRPr="00882976">
              <w:rPr>
                <w:rFonts w:cs="Arial"/>
              </w:rPr>
              <w:t>348,980</w:t>
            </w:r>
          </w:p>
        </w:tc>
        <w:tc>
          <w:tcPr>
            <w:tcW w:w="2410" w:type="dxa"/>
          </w:tcPr>
          <w:p w14:paraId="51BE4DE1" w14:textId="77777777" w:rsidR="00A32D45" w:rsidRPr="00882976" w:rsidRDefault="00A32D45" w:rsidP="00AC67F1">
            <w:pPr>
              <w:jc w:val="right"/>
              <w:rPr>
                <w:rFonts w:cs="Arial"/>
              </w:rPr>
            </w:pPr>
            <w:r w:rsidRPr="00882976">
              <w:rPr>
                <w:rFonts w:cs="Arial"/>
              </w:rPr>
              <w:t>1.85</w:t>
            </w:r>
          </w:p>
        </w:tc>
      </w:tr>
    </w:tbl>
    <w:p w14:paraId="46980777" w14:textId="77777777" w:rsidR="008676D4" w:rsidRPr="00882976" w:rsidRDefault="008676D4" w:rsidP="008676D4">
      <w:pPr>
        <w:spacing w:after="0"/>
        <w:rPr>
          <w:rFonts w:cs="Arial"/>
        </w:rPr>
      </w:pPr>
    </w:p>
    <w:p w14:paraId="12FA3AC6" w14:textId="779CDEBB" w:rsidR="00A32D45" w:rsidRPr="00882976" w:rsidRDefault="008C7719" w:rsidP="00B07864">
      <w:pPr>
        <w:spacing w:after="0"/>
        <w:rPr>
          <w:rFonts w:cs="Arial"/>
        </w:rPr>
      </w:pPr>
      <w:r w:rsidRPr="00882976">
        <w:rPr>
          <w:rFonts w:cs="Arial"/>
        </w:rPr>
        <w:t xml:space="preserve">The MTFS </w:t>
      </w:r>
      <w:r w:rsidR="006B6A38" w:rsidRPr="00882976">
        <w:rPr>
          <w:rFonts w:cs="Arial"/>
        </w:rPr>
        <w:t xml:space="preserve">contains the following forecast income for Council Tax </w:t>
      </w:r>
      <w:r w:rsidRPr="00882976">
        <w:rPr>
          <w:rFonts w:cs="Arial"/>
        </w:rPr>
        <w:t>a</w:t>
      </w:r>
      <w:r w:rsidR="00A32D45" w:rsidRPr="00882976">
        <w:rPr>
          <w:rFonts w:cs="Arial"/>
        </w:rPr>
        <w:t>ssum</w:t>
      </w:r>
      <w:r w:rsidRPr="00882976">
        <w:rPr>
          <w:rFonts w:cs="Arial"/>
        </w:rPr>
        <w:t>es</w:t>
      </w:r>
      <w:r w:rsidR="00A32D45" w:rsidRPr="00882976">
        <w:rPr>
          <w:rFonts w:cs="Arial"/>
        </w:rPr>
        <w:t xml:space="preserve"> a 3.99% increase in Council Tax along with a 1% increase in the tax-base</w:t>
      </w:r>
      <w:r w:rsidRPr="00882976">
        <w:rPr>
          <w:rFonts w:cs="Arial"/>
        </w:rPr>
        <w:t xml:space="preserve">. </w:t>
      </w:r>
    </w:p>
    <w:p w14:paraId="69A8B453" w14:textId="77777777" w:rsidR="008676D4" w:rsidRPr="00882976" w:rsidRDefault="008676D4" w:rsidP="00A32D45">
      <w:pPr>
        <w:rPr>
          <w:rFonts w:cs="Arial"/>
        </w:rPr>
      </w:pPr>
    </w:p>
    <w:tbl>
      <w:tblPr>
        <w:tblStyle w:val="TableGrid"/>
        <w:tblW w:w="0" w:type="auto"/>
        <w:tblLook w:val="04A0" w:firstRow="1" w:lastRow="0" w:firstColumn="1" w:lastColumn="0" w:noHBand="0" w:noVBand="1"/>
      </w:tblPr>
      <w:tblGrid>
        <w:gridCol w:w="3256"/>
        <w:gridCol w:w="1440"/>
        <w:gridCol w:w="1440"/>
        <w:gridCol w:w="1440"/>
        <w:gridCol w:w="1440"/>
      </w:tblGrid>
      <w:tr w:rsidR="00A32D45" w:rsidRPr="00882976" w14:paraId="0574F80C" w14:textId="77777777" w:rsidTr="005C03EB">
        <w:tc>
          <w:tcPr>
            <w:tcW w:w="3256" w:type="dxa"/>
            <w:tcBorders>
              <w:bottom w:val="nil"/>
            </w:tcBorders>
            <w:shd w:val="clear" w:color="auto" w:fill="A6A6A6" w:themeFill="background1" w:themeFillShade="A6"/>
          </w:tcPr>
          <w:p w14:paraId="24AD7754" w14:textId="77777777" w:rsidR="00A32D45" w:rsidRPr="00882976" w:rsidRDefault="00A32D45" w:rsidP="00AC67F1">
            <w:pPr>
              <w:rPr>
                <w:rFonts w:cs="Arial"/>
              </w:rPr>
            </w:pPr>
          </w:p>
        </w:tc>
        <w:tc>
          <w:tcPr>
            <w:tcW w:w="1440" w:type="dxa"/>
            <w:tcBorders>
              <w:bottom w:val="nil"/>
            </w:tcBorders>
            <w:shd w:val="clear" w:color="auto" w:fill="A6A6A6" w:themeFill="background1" w:themeFillShade="A6"/>
          </w:tcPr>
          <w:p w14:paraId="2DC78A3D" w14:textId="77777777" w:rsidR="00A32D45" w:rsidRPr="00882976" w:rsidRDefault="00A32D45" w:rsidP="00AC67F1">
            <w:pPr>
              <w:jc w:val="center"/>
              <w:rPr>
                <w:rFonts w:cs="Arial"/>
                <w:b/>
              </w:rPr>
            </w:pPr>
            <w:r w:rsidRPr="00882976">
              <w:rPr>
                <w:rFonts w:cs="Arial"/>
                <w:b/>
              </w:rPr>
              <w:t>2017/18</w:t>
            </w:r>
          </w:p>
        </w:tc>
        <w:tc>
          <w:tcPr>
            <w:tcW w:w="1440" w:type="dxa"/>
            <w:tcBorders>
              <w:bottom w:val="nil"/>
            </w:tcBorders>
            <w:shd w:val="clear" w:color="auto" w:fill="A6A6A6" w:themeFill="background1" w:themeFillShade="A6"/>
          </w:tcPr>
          <w:p w14:paraId="5B0F0CE4" w14:textId="77777777" w:rsidR="00A32D45" w:rsidRPr="00882976" w:rsidRDefault="00A32D45" w:rsidP="00AC67F1">
            <w:pPr>
              <w:jc w:val="center"/>
              <w:rPr>
                <w:rFonts w:cs="Arial"/>
                <w:b/>
              </w:rPr>
            </w:pPr>
            <w:r w:rsidRPr="00882976">
              <w:rPr>
                <w:rFonts w:cs="Arial"/>
                <w:b/>
              </w:rPr>
              <w:t>2018/19</w:t>
            </w:r>
          </w:p>
        </w:tc>
        <w:tc>
          <w:tcPr>
            <w:tcW w:w="1440" w:type="dxa"/>
            <w:tcBorders>
              <w:bottom w:val="nil"/>
            </w:tcBorders>
            <w:shd w:val="clear" w:color="auto" w:fill="A6A6A6" w:themeFill="background1" w:themeFillShade="A6"/>
          </w:tcPr>
          <w:p w14:paraId="6B6E72A6" w14:textId="77777777" w:rsidR="00A32D45" w:rsidRPr="00882976" w:rsidRDefault="00A32D45" w:rsidP="00AC67F1">
            <w:pPr>
              <w:jc w:val="center"/>
              <w:rPr>
                <w:rFonts w:cs="Arial"/>
                <w:b/>
              </w:rPr>
            </w:pPr>
            <w:r w:rsidRPr="00882976">
              <w:rPr>
                <w:rFonts w:cs="Arial"/>
                <w:b/>
              </w:rPr>
              <w:t>2019/20</w:t>
            </w:r>
          </w:p>
        </w:tc>
        <w:tc>
          <w:tcPr>
            <w:tcW w:w="1440" w:type="dxa"/>
            <w:tcBorders>
              <w:bottom w:val="nil"/>
            </w:tcBorders>
            <w:shd w:val="clear" w:color="auto" w:fill="A6A6A6" w:themeFill="background1" w:themeFillShade="A6"/>
          </w:tcPr>
          <w:p w14:paraId="073132C2" w14:textId="77777777" w:rsidR="00A32D45" w:rsidRPr="00882976" w:rsidRDefault="00A32D45" w:rsidP="00AC67F1">
            <w:pPr>
              <w:jc w:val="center"/>
              <w:rPr>
                <w:rFonts w:cs="Arial"/>
                <w:b/>
              </w:rPr>
            </w:pPr>
            <w:r w:rsidRPr="00882976">
              <w:rPr>
                <w:rFonts w:cs="Arial"/>
                <w:b/>
              </w:rPr>
              <w:t>2020/21</w:t>
            </w:r>
          </w:p>
        </w:tc>
      </w:tr>
      <w:tr w:rsidR="00A32D45" w:rsidRPr="00882976" w14:paraId="410617F5" w14:textId="77777777" w:rsidTr="005C03EB">
        <w:tc>
          <w:tcPr>
            <w:tcW w:w="3256" w:type="dxa"/>
            <w:tcBorders>
              <w:top w:val="nil"/>
            </w:tcBorders>
            <w:shd w:val="clear" w:color="auto" w:fill="A6A6A6" w:themeFill="background1" w:themeFillShade="A6"/>
          </w:tcPr>
          <w:p w14:paraId="735CA758" w14:textId="77777777" w:rsidR="00A32D45" w:rsidRPr="00882976" w:rsidRDefault="00A32D45" w:rsidP="00AC67F1">
            <w:pPr>
              <w:rPr>
                <w:rFonts w:cs="Arial"/>
              </w:rPr>
            </w:pPr>
          </w:p>
        </w:tc>
        <w:tc>
          <w:tcPr>
            <w:tcW w:w="1440" w:type="dxa"/>
            <w:tcBorders>
              <w:top w:val="nil"/>
            </w:tcBorders>
            <w:shd w:val="clear" w:color="auto" w:fill="A6A6A6" w:themeFill="background1" w:themeFillShade="A6"/>
          </w:tcPr>
          <w:p w14:paraId="448CC3A5" w14:textId="77777777" w:rsidR="00A32D45" w:rsidRPr="00882976" w:rsidRDefault="00A32D45" w:rsidP="00AC67F1">
            <w:pPr>
              <w:jc w:val="center"/>
              <w:rPr>
                <w:rFonts w:cs="Arial"/>
                <w:b/>
              </w:rPr>
            </w:pPr>
            <w:r w:rsidRPr="00882976">
              <w:rPr>
                <w:rFonts w:cs="Arial"/>
                <w:b/>
              </w:rPr>
              <w:t>£m</w:t>
            </w:r>
          </w:p>
        </w:tc>
        <w:tc>
          <w:tcPr>
            <w:tcW w:w="1440" w:type="dxa"/>
            <w:tcBorders>
              <w:top w:val="nil"/>
            </w:tcBorders>
            <w:shd w:val="clear" w:color="auto" w:fill="A6A6A6" w:themeFill="background1" w:themeFillShade="A6"/>
          </w:tcPr>
          <w:p w14:paraId="673A6156" w14:textId="77777777" w:rsidR="00A32D45" w:rsidRPr="00882976" w:rsidRDefault="00A32D45" w:rsidP="00AC67F1">
            <w:pPr>
              <w:jc w:val="center"/>
              <w:rPr>
                <w:rFonts w:cs="Arial"/>
                <w:b/>
              </w:rPr>
            </w:pPr>
            <w:r w:rsidRPr="00882976">
              <w:rPr>
                <w:rFonts w:cs="Arial"/>
                <w:b/>
              </w:rPr>
              <w:t>£m</w:t>
            </w:r>
          </w:p>
        </w:tc>
        <w:tc>
          <w:tcPr>
            <w:tcW w:w="1440" w:type="dxa"/>
            <w:tcBorders>
              <w:top w:val="nil"/>
            </w:tcBorders>
            <w:shd w:val="clear" w:color="auto" w:fill="A6A6A6" w:themeFill="background1" w:themeFillShade="A6"/>
          </w:tcPr>
          <w:p w14:paraId="45B51CA0" w14:textId="77777777" w:rsidR="00A32D45" w:rsidRPr="00882976" w:rsidRDefault="00A32D45" w:rsidP="00AC67F1">
            <w:pPr>
              <w:jc w:val="center"/>
              <w:rPr>
                <w:rFonts w:cs="Arial"/>
                <w:b/>
              </w:rPr>
            </w:pPr>
            <w:r w:rsidRPr="00882976">
              <w:rPr>
                <w:rFonts w:cs="Arial"/>
                <w:b/>
              </w:rPr>
              <w:t>£m</w:t>
            </w:r>
          </w:p>
        </w:tc>
        <w:tc>
          <w:tcPr>
            <w:tcW w:w="1440" w:type="dxa"/>
            <w:tcBorders>
              <w:top w:val="nil"/>
            </w:tcBorders>
            <w:shd w:val="clear" w:color="auto" w:fill="A6A6A6" w:themeFill="background1" w:themeFillShade="A6"/>
          </w:tcPr>
          <w:p w14:paraId="5017EDAE" w14:textId="77777777" w:rsidR="00A32D45" w:rsidRPr="00882976" w:rsidRDefault="00A32D45" w:rsidP="00AC67F1">
            <w:pPr>
              <w:jc w:val="center"/>
              <w:rPr>
                <w:rFonts w:cs="Arial"/>
                <w:b/>
              </w:rPr>
            </w:pPr>
            <w:r w:rsidRPr="00882976">
              <w:rPr>
                <w:rFonts w:cs="Arial"/>
                <w:b/>
              </w:rPr>
              <w:t>£m</w:t>
            </w:r>
          </w:p>
        </w:tc>
      </w:tr>
      <w:tr w:rsidR="00A32D45" w:rsidRPr="00882976" w14:paraId="0BF93798" w14:textId="77777777" w:rsidTr="00AC67F1">
        <w:tc>
          <w:tcPr>
            <w:tcW w:w="3256" w:type="dxa"/>
          </w:tcPr>
          <w:p w14:paraId="16FBF407" w14:textId="3ED67B26" w:rsidR="00A32D45" w:rsidRPr="00882976" w:rsidRDefault="00463310" w:rsidP="00AC67F1">
            <w:pPr>
              <w:rPr>
                <w:rFonts w:cs="Arial"/>
              </w:rPr>
            </w:pPr>
            <w:r w:rsidRPr="00882976">
              <w:rPr>
                <w:rFonts w:cs="Arial"/>
              </w:rPr>
              <w:t>Council Tax Income</w:t>
            </w:r>
          </w:p>
        </w:tc>
        <w:tc>
          <w:tcPr>
            <w:tcW w:w="1440" w:type="dxa"/>
          </w:tcPr>
          <w:p w14:paraId="5ACD746D" w14:textId="6BDC4D3C" w:rsidR="00A32D45" w:rsidRPr="00882976" w:rsidRDefault="006B6A38" w:rsidP="00AC67F1">
            <w:pPr>
              <w:jc w:val="right"/>
              <w:rPr>
                <w:rFonts w:cs="Arial"/>
              </w:rPr>
            </w:pPr>
            <w:r w:rsidRPr="00882976">
              <w:rPr>
                <w:rFonts w:cs="Arial"/>
              </w:rPr>
              <w:t>430.627</w:t>
            </w:r>
          </w:p>
        </w:tc>
        <w:tc>
          <w:tcPr>
            <w:tcW w:w="1440" w:type="dxa"/>
          </w:tcPr>
          <w:p w14:paraId="16F8692B" w14:textId="24682CA1" w:rsidR="00A32D45" w:rsidRPr="00882976" w:rsidRDefault="00FC5B0A" w:rsidP="00AC67F1">
            <w:pPr>
              <w:jc w:val="right"/>
              <w:rPr>
                <w:rFonts w:cs="Arial"/>
              </w:rPr>
            </w:pPr>
            <w:r w:rsidRPr="00882976">
              <w:rPr>
                <w:rFonts w:cs="Arial"/>
              </w:rPr>
              <w:t>452.288</w:t>
            </w:r>
          </w:p>
        </w:tc>
        <w:tc>
          <w:tcPr>
            <w:tcW w:w="1440" w:type="dxa"/>
          </w:tcPr>
          <w:p w14:paraId="52E75BDB" w14:textId="4227FD06" w:rsidR="00A32D45" w:rsidRPr="00882976" w:rsidRDefault="00FC5B0A" w:rsidP="00AC67F1">
            <w:pPr>
              <w:jc w:val="right"/>
              <w:rPr>
                <w:rFonts w:cs="Arial"/>
              </w:rPr>
            </w:pPr>
            <w:r w:rsidRPr="00882976">
              <w:rPr>
                <w:rFonts w:cs="Arial"/>
              </w:rPr>
              <w:t>475.036</w:t>
            </w:r>
          </w:p>
        </w:tc>
        <w:tc>
          <w:tcPr>
            <w:tcW w:w="1440" w:type="dxa"/>
          </w:tcPr>
          <w:p w14:paraId="10BBB41B" w14:textId="211880D3" w:rsidR="00A32D45" w:rsidRPr="00882976" w:rsidRDefault="00FC5B0A" w:rsidP="00AC67F1">
            <w:pPr>
              <w:jc w:val="right"/>
              <w:rPr>
                <w:rFonts w:cs="Arial"/>
              </w:rPr>
            </w:pPr>
            <w:r w:rsidRPr="00882976">
              <w:rPr>
                <w:rFonts w:cs="Arial"/>
              </w:rPr>
              <w:t>498.932</w:t>
            </w:r>
          </w:p>
        </w:tc>
      </w:tr>
    </w:tbl>
    <w:p w14:paraId="303A7430" w14:textId="77777777" w:rsidR="00234950" w:rsidRPr="00882976" w:rsidRDefault="00234950" w:rsidP="00A32D45">
      <w:pPr>
        <w:rPr>
          <w:rFonts w:cs="Arial"/>
          <w:b/>
          <w:u w:val="single"/>
        </w:rPr>
      </w:pPr>
    </w:p>
    <w:p w14:paraId="287F3E90" w14:textId="77777777" w:rsidR="00A32D45" w:rsidRPr="00882976" w:rsidRDefault="00A32D45" w:rsidP="00A32D45">
      <w:pPr>
        <w:rPr>
          <w:rFonts w:cs="Arial"/>
          <w:b/>
          <w:u w:val="single"/>
        </w:rPr>
      </w:pPr>
      <w:r w:rsidRPr="00882976">
        <w:rPr>
          <w:rFonts w:cs="Arial"/>
          <w:b/>
          <w:u w:val="single"/>
        </w:rPr>
        <w:lastRenderedPageBreak/>
        <w:t>New Homes Bonus</w:t>
      </w:r>
    </w:p>
    <w:p w14:paraId="348FDAFA" w14:textId="29E18D4E" w:rsidR="00A32D45" w:rsidRPr="00882976" w:rsidRDefault="00A32D45" w:rsidP="00A32D45">
      <w:pPr>
        <w:rPr>
          <w:rFonts w:cs="Arial"/>
        </w:rPr>
      </w:pPr>
      <w:r w:rsidRPr="00882976">
        <w:rPr>
          <w:rFonts w:cs="Arial"/>
        </w:rPr>
        <w:t>The 2016/17 Local Government Finance Settlement included an actual New Homes Bonus figure for 2016/17 and indicative allocation for 2017/18 to 2019/20. These future years' form the basis of the MTFS. They are lower in later years to reflect a reduction in the total funding allocated.  However, the New Homes Bonus System</w:t>
      </w:r>
      <w:r w:rsidR="00270A7A" w:rsidRPr="00882976">
        <w:rPr>
          <w:rFonts w:cs="Arial"/>
        </w:rPr>
        <w:t xml:space="preserve"> (NHB)</w:t>
      </w:r>
      <w:r w:rsidRPr="00882976">
        <w:rPr>
          <w:rFonts w:cs="Arial"/>
        </w:rPr>
        <w:t xml:space="preserve"> is subject to change and actual allocations will depend upon the outcome of the consultation that was undertaken earlier in 2016 and also the impact of future local growth. At this stage it is still the best information available for NHB allocations.</w:t>
      </w:r>
    </w:p>
    <w:p w14:paraId="0DD0794C" w14:textId="77777777" w:rsidR="00A32D45" w:rsidRPr="00882976" w:rsidRDefault="00A32D45" w:rsidP="00A32D45">
      <w:pPr>
        <w:rPr>
          <w:rFonts w:cs="Arial"/>
          <w:b/>
          <w:u w:val="single"/>
        </w:rPr>
      </w:pPr>
    </w:p>
    <w:p w14:paraId="11CA0F3C" w14:textId="77777777" w:rsidR="00A32D45" w:rsidRPr="00882976" w:rsidRDefault="00A32D45" w:rsidP="008676D4">
      <w:pPr>
        <w:spacing w:after="0"/>
        <w:rPr>
          <w:rFonts w:cs="Arial"/>
          <w:b/>
          <w:u w:val="single"/>
        </w:rPr>
      </w:pPr>
      <w:r w:rsidRPr="00882976">
        <w:rPr>
          <w:rFonts w:cs="Arial"/>
          <w:b/>
          <w:u w:val="single"/>
        </w:rPr>
        <w:t>Better Care Fund/ Transitional Grant</w:t>
      </w:r>
    </w:p>
    <w:p w14:paraId="025BA78F" w14:textId="081ACE5D" w:rsidR="00A32D45" w:rsidRPr="00882976" w:rsidRDefault="00A32D45" w:rsidP="008676D4">
      <w:pPr>
        <w:spacing w:after="0"/>
        <w:rPr>
          <w:rFonts w:cs="Arial"/>
        </w:rPr>
      </w:pPr>
      <w:r w:rsidRPr="00882976">
        <w:rPr>
          <w:rFonts w:cs="Arial"/>
        </w:rPr>
        <w:t>The MTFS is based on indicative data in the last Settlement and therefore represent the best estimate available.</w:t>
      </w:r>
    </w:p>
    <w:p w14:paraId="405DF139" w14:textId="77777777" w:rsidR="006E401C" w:rsidRPr="00882976" w:rsidRDefault="006E401C" w:rsidP="008676D4">
      <w:pPr>
        <w:spacing w:after="0"/>
        <w:rPr>
          <w:rFonts w:cs="Arial"/>
        </w:rPr>
      </w:pPr>
    </w:p>
    <w:p w14:paraId="73C6E63C" w14:textId="6EFBE48B" w:rsidR="009A4411" w:rsidRPr="00882976" w:rsidRDefault="006E401C" w:rsidP="006E401C">
      <w:pPr>
        <w:spacing w:after="0"/>
        <w:rPr>
          <w:rFonts w:cs="Arial"/>
          <w:b/>
          <w:u w:val="single"/>
        </w:rPr>
      </w:pPr>
      <w:r w:rsidRPr="00882976">
        <w:rPr>
          <w:rFonts w:cs="Arial"/>
          <w:b/>
          <w:u w:val="single"/>
        </w:rPr>
        <w:t>Capital Receipts</w:t>
      </w:r>
    </w:p>
    <w:p w14:paraId="03E41C4D" w14:textId="0CCE680F" w:rsidR="009A4411" w:rsidRPr="00882976" w:rsidRDefault="009A4411" w:rsidP="009A4411">
      <w:pPr>
        <w:tabs>
          <w:tab w:val="left" w:pos="567"/>
          <w:tab w:val="left" w:pos="1134"/>
        </w:tabs>
        <w:spacing w:after="0"/>
        <w:rPr>
          <w:rFonts w:cs="Arial"/>
        </w:rPr>
      </w:pPr>
      <w:r w:rsidRPr="00882976">
        <w:rPr>
          <w:rFonts w:cs="Arial"/>
        </w:rPr>
        <w:t xml:space="preserve">As part of the Autumn Statement the Chancellor of the Exchequer announced that the rules for the use of capital receipts, which is the income received from the sale of the County Council's fixed assets, were to be amended to help local authorities deliver more efficient and sustainable services. </w:t>
      </w:r>
      <w:r w:rsidR="00E3540A" w:rsidRPr="00882976">
        <w:rPr>
          <w:rFonts w:cs="Arial"/>
        </w:rPr>
        <w:t xml:space="preserve">Previously </w:t>
      </w:r>
      <w:r w:rsidRPr="00882976">
        <w:rPr>
          <w:rFonts w:cs="Arial"/>
        </w:rPr>
        <w:t xml:space="preserve">the use of capital receipts </w:t>
      </w:r>
      <w:r w:rsidR="00E3540A" w:rsidRPr="00882976">
        <w:rPr>
          <w:rFonts w:cs="Arial"/>
        </w:rPr>
        <w:t>has been</w:t>
      </w:r>
      <w:r w:rsidRPr="00882976">
        <w:rPr>
          <w:rFonts w:cs="Arial"/>
        </w:rPr>
        <w:t xml:space="preserve"> restricted to the funding of capital expenditure or the repayment of debt. From 1 April 2016 capital receipts can be used to fund revenue expenditure which meets qualifying criteria</w:t>
      </w:r>
      <w:r w:rsidR="00E3540A" w:rsidRPr="00882976">
        <w:rPr>
          <w:rFonts w:cs="Arial"/>
        </w:rPr>
        <w:t xml:space="preserve">, which is that </w:t>
      </w:r>
      <w:r w:rsidRPr="00882976">
        <w:rPr>
          <w:rFonts w:cs="Arial"/>
        </w:rPr>
        <w:t>the revenue expenditure needs to be on any project which is designed to generate ongoing revenue savings or to transform the service so as to make savings or improve the quality of service provision.</w:t>
      </w:r>
    </w:p>
    <w:p w14:paraId="611E6E64" w14:textId="77777777" w:rsidR="009A4411" w:rsidRPr="00882976" w:rsidRDefault="009A4411" w:rsidP="009A4411">
      <w:pPr>
        <w:tabs>
          <w:tab w:val="left" w:pos="567"/>
          <w:tab w:val="left" w:pos="1134"/>
        </w:tabs>
        <w:spacing w:after="0"/>
        <w:rPr>
          <w:rFonts w:cs="Arial"/>
        </w:rPr>
      </w:pPr>
    </w:p>
    <w:p w14:paraId="677DE9E9" w14:textId="77777777" w:rsidR="009A4411" w:rsidRPr="00882976" w:rsidRDefault="009A4411" w:rsidP="009A4411">
      <w:pPr>
        <w:tabs>
          <w:tab w:val="left" w:pos="567"/>
          <w:tab w:val="left" w:pos="1134"/>
        </w:tabs>
        <w:spacing w:after="0"/>
        <w:rPr>
          <w:rFonts w:cs="Arial"/>
        </w:rPr>
      </w:pPr>
      <w:r w:rsidRPr="00882976">
        <w:rPr>
          <w:rFonts w:cs="Arial"/>
        </w:rPr>
        <w:t xml:space="preserve">Local authorities will only be able to use capital receipts from the sale of property, plant and equipment received in the years in which this flexibility is offered. They may not use their existing stock of capital receipts to finance the revenue costs of reform. </w:t>
      </w:r>
    </w:p>
    <w:p w14:paraId="64838BF3" w14:textId="77777777" w:rsidR="009A4411" w:rsidRPr="00882976" w:rsidRDefault="009A4411" w:rsidP="009A4411">
      <w:pPr>
        <w:tabs>
          <w:tab w:val="left" w:pos="567"/>
          <w:tab w:val="left" w:pos="1134"/>
        </w:tabs>
        <w:spacing w:after="0"/>
        <w:rPr>
          <w:rFonts w:cs="Arial"/>
        </w:rPr>
      </w:pPr>
    </w:p>
    <w:p w14:paraId="259CD03B" w14:textId="77777777" w:rsidR="009A4411" w:rsidRPr="00882976" w:rsidRDefault="009A4411" w:rsidP="009A4411">
      <w:pPr>
        <w:tabs>
          <w:tab w:val="left" w:pos="567"/>
          <w:tab w:val="left" w:pos="1134"/>
        </w:tabs>
        <w:spacing w:after="0"/>
        <w:rPr>
          <w:rFonts w:cs="Arial"/>
        </w:rPr>
      </w:pPr>
      <w:r w:rsidRPr="00882976">
        <w:rPr>
          <w:rFonts w:cs="Arial"/>
        </w:rPr>
        <w:t>Current estimates of the capital receipts to be generated are:</w:t>
      </w:r>
    </w:p>
    <w:p w14:paraId="0BED30F1" w14:textId="77777777" w:rsidR="009A4411" w:rsidRPr="00882976" w:rsidRDefault="009A4411" w:rsidP="009A4411">
      <w:pPr>
        <w:tabs>
          <w:tab w:val="left" w:pos="567"/>
          <w:tab w:val="left" w:pos="1134"/>
        </w:tabs>
        <w:spacing w:after="0"/>
        <w:rPr>
          <w:rFonts w:cs="Arial"/>
        </w:rPr>
      </w:pPr>
    </w:p>
    <w:tbl>
      <w:tblPr>
        <w:tblStyle w:val="TableGrid"/>
        <w:tblW w:w="0" w:type="auto"/>
        <w:tblLook w:val="04A0" w:firstRow="1" w:lastRow="0" w:firstColumn="1" w:lastColumn="0" w:noHBand="0" w:noVBand="1"/>
      </w:tblPr>
      <w:tblGrid>
        <w:gridCol w:w="2246"/>
        <w:gridCol w:w="2246"/>
        <w:gridCol w:w="2246"/>
        <w:gridCol w:w="2246"/>
      </w:tblGrid>
      <w:tr w:rsidR="009A4411" w:rsidRPr="00882976" w14:paraId="098E31AD" w14:textId="77777777" w:rsidTr="00AC67F1">
        <w:trPr>
          <w:trHeight w:val="236"/>
        </w:trPr>
        <w:tc>
          <w:tcPr>
            <w:tcW w:w="2246" w:type="dxa"/>
            <w:shd w:val="clear" w:color="auto" w:fill="BFBFBF" w:themeFill="background1" w:themeFillShade="BF"/>
          </w:tcPr>
          <w:p w14:paraId="257B484C" w14:textId="77777777" w:rsidR="009A4411" w:rsidRPr="00882976" w:rsidRDefault="009A4411" w:rsidP="00AC67F1">
            <w:pPr>
              <w:tabs>
                <w:tab w:val="left" w:pos="567"/>
                <w:tab w:val="left" w:pos="1134"/>
              </w:tabs>
              <w:spacing w:after="0"/>
              <w:rPr>
                <w:rFonts w:cs="Arial"/>
                <w:b/>
              </w:rPr>
            </w:pPr>
          </w:p>
        </w:tc>
        <w:tc>
          <w:tcPr>
            <w:tcW w:w="2246" w:type="dxa"/>
            <w:shd w:val="clear" w:color="auto" w:fill="BFBFBF" w:themeFill="background1" w:themeFillShade="BF"/>
          </w:tcPr>
          <w:p w14:paraId="05914EAD" w14:textId="77777777" w:rsidR="009A4411" w:rsidRPr="00882976" w:rsidRDefault="009A4411" w:rsidP="00AC67F1">
            <w:pPr>
              <w:tabs>
                <w:tab w:val="left" w:pos="567"/>
                <w:tab w:val="left" w:pos="1134"/>
              </w:tabs>
              <w:spacing w:after="0"/>
              <w:jc w:val="center"/>
              <w:rPr>
                <w:rFonts w:cs="Arial"/>
                <w:b/>
              </w:rPr>
            </w:pPr>
            <w:r w:rsidRPr="00882976">
              <w:rPr>
                <w:rFonts w:cs="Arial"/>
                <w:b/>
              </w:rPr>
              <w:t>2016/17</w:t>
            </w:r>
          </w:p>
          <w:p w14:paraId="3283E5C4" w14:textId="77777777" w:rsidR="009A4411" w:rsidRPr="00882976" w:rsidRDefault="009A4411" w:rsidP="00AC67F1">
            <w:pPr>
              <w:tabs>
                <w:tab w:val="left" w:pos="567"/>
                <w:tab w:val="left" w:pos="1134"/>
              </w:tabs>
              <w:spacing w:after="0"/>
              <w:jc w:val="center"/>
              <w:rPr>
                <w:rFonts w:cs="Arial"/>
                <w:b/>
              </w:rPr>
            </w:pPr>
            <w:r w:rsidRPr="00882976">
              <w:rPr>
                <w:rFonts w:cs="Arial"/>
                <w:b/>
              </w:rPr>
              <w:t>£m</w:t>
            </w:r>
          </w:p>
        </w:tc>
        <w:tc>
          <w:tcPr>
            <w:tcW w:w="2246" w:type="dxa"/>
            <w:shd w:val="clear" w:color="auto" w:fill="BFBFBF" w:themeFill="background1" w:themeFillShade="BF"/>
          </w:tcPr>
          <w:p w14:paraId="09125C69" w14:textId="77777777" w:rsidR="009A4411" w:rsidRPr="00882976" w:rsidRDefault="009A4411" w:rsidP="00AC67F1">
            <w:pPr>
              <w:tabs>
                <w:tab w:val="left" w:pos="567"/>
                <w:tab w:val="left" w:pos="1134"/>
              </w:tabs>
              <w:spacing w:after="0"/>
              <w:jc w:val="center"/>
              <w:rPr>
                <w:rFonts w:cs="Arial"/>
                <w:b/>
              </w:rPr>
            </w:pPr>
            <w:r w:rsidRPr="00882976">
              <w:rPr>
                <w:rFonts w:cs="Arial"/>
                <w:b/>
              </w:rPr>
              <w:t>2017/18</w:t>
            </w:r>
          </w:p>
          <w:p w14:paraId="206FD135" w14:textId="77777777" w:rsidR="009A4411" w:rsidRPr="00882976" w:rsidRDefault="009A4411" w:rsidP="00AC67F1">
            <w:pPr>
              <w:tabs>
                <w:tab w:val="left" w:pos="567"/>
                <w:tab w:val="left" w:pos="1134"/>
              </w:tabs>
              <w:spacing w:after="0"/>
              <w:jc w:val="center"/>
              <w:rPr>
                <w:rFonts w:cs="Arial"/>
                <w:b/>
              </w:rPr>
            </w:pPr>
            <w:r w:rsidRPr="00882976">
              <w:rPr>
                <w:rFonts w:cs="Arial"/>
                <w:b/>
              </w:rPr>
              <w:t>£m</w:t>
            </w:r>
          </w:p>
        </w:tc>
        <w:tc>
          <w:tcPr>
            <w:tcW w:w="2246" w:type="dxa"/>
            <w:shd w:val="clear" w:color="auto" w:fill="BFBFBF" w:themeFill="background1" w:themeFillShade="BF"/>
          </w:tcPr>
          <w:p w14:paraId="7CB9A668" w14:textId="77777777" w:rsidR="009A4411" w:rsidRPr="00882976" w:rsidRDefault="009A4411" w:rsidP="00AC67F1">
            <w:pPr>
              <w:tabs>
                <w:tab w:val="left" w:pos="567"/>
                <w:tab w:val="left" w:pos="1134"/>
              </w:tabs>
              <w:spacing w:after="0"/>
              <w:jc w:val="center"/>
              <w:rPr>
                <w:rFonts w:cs="Arial"/>
                <w:b/>
              </w:rPr>
            </w:pPr>
            <w:r w:rsidRPr="00882976">
              <w:rPr>
                <w:rFonts w:cs="Arial"/>
                <w:b/>
              </w:rPr>
              <w:t>2018/19</w:t>
            </w:r>
          </w:p>
          <w:p w14:paraId="7931E0E9" w14:textId="77777777" w:rsidR="009A4411" w:rsidRPr="00882976" w:rsidRDefault="009A4411" w:rsidP="00AC67F1">
            <w:pPr>
              <w:tabs>
                <w:tab w:val="left" w:pos="567"/>
                <w:tab w:val="left" w:pos="1134"/>
              </w:tabs>
              <w:spacing w:after="0"/>
              <w:jc w:val="center"/>
              <w:rPr>
                <w:rFonts w:cs="Arial"/>
                <w:b/>
              </w:rPr>
            </w:pPr>
            <w:r w:rsidRPr="00882976">
              <w:rPr>
                <w:rFonts w:cs="Arial"/>
                <w:b/>
              </w:rPr>
              <w:t>£m</w:t>
            </w:r>
          </w:p>
        </w:tc>
      </w:tr>
      <w:tr w:rsidR="009A4411" w:rsidRPr="00882976" w14:paraId="2DF5A2B5" w14:textId="77777777" w:rsidTr="00AC67F1">
        <w:trPr>
          <w:trHeight w:val="579"/>
        </w:trPr>
        <w:tc>
          <w:tcPr>
            <w:tcW w:w="2246" w:type="dxa"/>
            <w:vAlign w:val="center"/>
          </w:tcPr>
          <w:p w14:paraId="2F146409" w14:textId="77777777" w:rsidR="009A4411" w:rsidRPr="00882976" w:rsidRDefault="009A4411" w:rsidP="00AC67F1">
            <w:pPr>
              <w:tabs>
                <w:tab w:val="left" w:pos="567"/>
                <w:tab w:val="left" w:pos="1134"/>
              </w:tabs>
              <w:spacing w:after="0"/>
              <w:jc w:val="left"/>
              <w:rPr>
                <w:rFonts w:cs="Arial"/>
              </w:rPr>
            </w:pPr>
            <w:r w:rsidRPr="00882976">
              <w:rPr>
                <w:rFonts w:cs="Arial"/>
              </w:rPr>
              <w:t>Capital receipts generated</w:t>
            </w:r>
          </w:p>
        </w:tc>
        <w:tc>
          <w:tcPr>
            <w:tcW w:w="2246" w:type="dxa"/>
            <w:vAlign w:val="center"/>
          </w:tcPr>
          <w:p w14:paraId="3C4E6ADC" w14:textId="79E13277" w:rsidR="009A4411" w:rsidRPr="00882976" w:rsidRDefault="009A4411" w:rsidP="00AC67F1">
            <w:pPr>
              <w:tabs>
                <w:tab w:val="left" w:pos="567"/>
                <w:tab w:val="left" w:pos="1134"/>
              </w:tabs>
              <w:spacing w:after="0"/>
              <w:jc w:val="center"/>
              <w:rPr>
                <w:rFonts w:cs="Arial"/>
              </w:rPr>
            </w:pPr>
            <w:r w:rsidRPr="00882976">
              <w:rPr>
                <w:rFonts w:cs="Arial"/>
              </w:rPr>
              <w:t>5.0</w:t>
            </w:r>
            <w:r w:rsidR="001E485A" w:rsidRPr="00882976">
              <w:rPr>
                <w:rFonts w:cs="Arial"/>
              </w:rPr>
              <w:t>00</w:t>
            </w:r>
          </w:p>
        </w:tc>
        <w:tc>
          <w:tcPr>
            <w:tcW w:w="2246" w:type="dxa"/>
            <w:vAlign w:val="center"/>
          </w:tcPr>
          <w:p w14:paraId="27665F9A" w14:textId="4F59F82A" w:rsidR="009A4411" w:rsidRPr="00882976" w:rsidRDefault="009A4411" w:rsidP="00AC67F1">
            <w:pPr>
              <w:tabs>
                <w:tab w:val="left" w:pos="567"/>
                <w:tab w:val="left" w:pos="1134"/>
              </w:tabs>
              <w:spacing w:after="0"/>
              <w:jc w:val="center"/>
              <w:rPr>
                <w:rFonts w:cs="Arial"/>
              </w:rPr>
            </w:pPr>
            <w:r w:rsidRPr="00882976">
              <w:rPr>
                <w:rFonts w:cs="Arial"/>
              </w:rPr>
              <w:t>12.5</w:t>
            </w:r>
            <w:r w:rsidR="001E485A" w:rsidRPr="00882976">
              <w:rPr>
                <w:rFonts w:cs="Arial"/>
              </w:rPr>
              <w:t>00</w:t>
            </w:r>
          </w:p>
        </w:tc>
        <w:tc>
          <w:tcPr>
            <w:tcW w:w="2246" w:type="dxa"/>
            <w:vAlign w:val="center"/>
          </w:tcPr>
          <w:p w14:paraId="1D6E5D15" w14:textId="499243B1" w:rsidR="009A4411" w:rsidRPr="00882976" w:rsidRDefault="009A4411" w:rsidP="00AC67F1">
            <w:pPr>
              <w:tabs>
                <w:tab w:val="left" w:pos="567"/>
                <w:tab w:val="left" w:pos="1134"/>
              </w:tabs>
              <w:spacing w:after="0"/>
              <w:jc w:val="center"/>
              <w:rPr>
                <w:rFonts w:cs="Arial"/>
              </w:rPr>
            </w:pPr>
            <w:r w:rsidRPr="00882976">
              <w:rPr>
                <w:rFonts w:cs="Arial"/>
              </w:rPr>
              <w:t>5.0</w:t>
            </w:r>
            <w:r w:rsidR="001E485A" w:rsidRPr="00882976">
              <w:rPr>
                <w:rFonts w:cs="Arial"/>
              </w:rPr>
              <w:t>00</w:t>
            </w:r>
          </w:p>
        </w:tc>
      </w:tr>
    </w:tbl>
    <w:p w14:paraId="436FB672" w14:textId="77777777" w:rsidR="009A4411" w:rsidRPr="00882976" w:rsidRDefault="009A4411" w:rsidP="009A4411">
      <w:pPr>
        <w:tabs>
          <w:tab w:val="left" w:pos="567"/>
          <w:tab w:val="left" w:pos="1134"/>
        </w:tabs>
        <w:spacing w:after="0"/>
        <w:rPr>
          <w:rFonts w:cs="Arial"/>
        </w:rPr>
      </w:pPr>
      <w:r w:rsidRPr="00882976">
        <w:rPr>
          <w:rFonts w:cs="Arial"/>
        </w:rPr>
        <w:t xml:space="preserve"> </w:t>
      </w:r>
    </w:p>
    <w:p w14:paraId="07FD3EB2" w14:textId="70499655" w:rsidR="009A4411" w:rsidRPr="00882976" w:rsidRDefault="00E3540A" w:rsidP="009A4411">
      <w:pPr>
        <w:tabs>
          <w:tab w:val="left" w:pos="567"/>
          <w:tab w:val="left" w:pos="1134"/>
        </w:tabs>
        <w:spacing w:after="0"/>
        <w:rPr>
          <w:rFonts w:cs="Arial"/>
        </w:rPr>
      </w:pPr>
      <w:r w:rsidRPr="00882976">
        <w:rPr>
          <w:rFonts w:cs="Arial"/>
        </w:rPr>
        <w:t>An</w:t>
      </w:r>
      <w:r w:rsidR="009A4411" w:rsidRPr="00882976">
        <w:rPr>
          <w:rFonts w:cs="Arial"/>
        </w:rPr>
        <w:t xml:space="preserve"> estimated £22.5</w:t>
      </w:r>
      <w:r w:rsidR="001E485A" w:rsidRPr="00882976">
        <w:rPr>
          <w:rFonts w:cs="Arial"/>
        </w:rPr>
        <w:t>00</w:t>
      </w:r>
      <w:r w:rsidR="009A4411" w:rsidRPr="00882976">
        <w:rPr>
          <w:rFonts w:cs="Arial"/>
        </w:rPr>
        <w:t xml:space="preserve">m </w:t>
      </w:r>
      <w:r w:rsidRPr="00882976">
        <w:rPr>
          <w:rFonts w:cs="Arial"/>
        </w:rPr>
        <w:t xml:space="preserve">has previously been agreed to </w:t>
      </w:r>
      <w:r w:rsidR="009A4411" w:rsidRPr="00882976">
        <w:rPr>
          <w:rFonts w:cs="Arial"/>
        </w:rPr>
        <w:t>b</w:t>
      </w:r>
      <w:r w:rsidR="0001056B" w:rsidRPr="00882976">
        <w:rPr>
          <w:rFonts w:cs="Arial"/>
        </w:rPr>
        <w:t>e applied to the revenue budget.</w:t>
      </w:r>
      <w:r w:rsidR="001E485A" w:rsidRPr="00882976">
        <w:rPr>
          <w:rFonts w:cs="Arial"/>
        </w:rPr>
        <w:t xml:space="preserve"> </w:t>
      </w:r>
      <w:r w:rsidR="009A4411" w:rsidRPr="00882976">
        <w:rPr>
          <w:rFonts w:cs="Arial"/>
        </w:rPr>
        <w:t>It should be noted that the receipts are one-off resources and there is a possibility that the level of receipts to be generated from the sale of assets will not be maintained at these levels for a sustained period of time. The actual receipts received in any one year will fluctuate in line with local property markets and the type of asset available for sale. Therefore, there is a risk that in any given year the receipts actually received will be less than assumed and therefore the situation will be monitored closely.</w:t>
      </w:r>
      <w:r w:rsidR="00E007F5" w:rsidRPr="00882976">
        <w:rPr>
          <w:rFonts w:cs="Arial"/>
        </w:rPr>
        <w:t xml:space="preserve">  This report does not assume any variation from the existing assumptions.</w:t>
      </w:r>
    </w:p>
    <w:p w14:paraId="195AF341" w14:textId="77777777" w:rsidR="009A4411" w:rsidRPr="00882976" w:rsidRDefault="009A4411" w:rsidP="009A4411">
      <w:pPr>
        <w:tabs>
          <w:tab w:val="left" w:pos="567"/>
          <w:tab w:val="left" w:pos="1134"/>
        </w:tabs>
        <w:spacing w:after="0"/>
        <w:rPr>
          <w:rFonts w:cs="Arial"/>
        </w:rPr>
      </w:pPr>
    </w:p>
    <w:p w14:paraId="5132CE1E" w14:textId="265810E9" w:rsidR="009A4411" w:rsidRPr="00882976" w:rsidRDefault="009A4411" w:rsidP="009A4411">
      <w:pPr>
        <w:tabs>
          <w:tab w:val="left" w:pos="567"/>
          <w:tab w:val="left" w:pos="1134"/>
        </w:tabs>
        <w:spacing w:after="0"/>
        <w:rPr>
          <w:rFonts w:cs="Arial"/>
        </w:rPr>
      </w:pPr>
      <w:r w:rsidRPr="00882976">
        <w:rPr>
          <w:rFonts w:cs="Arial"/>
        </w:rPr>
        <w:t>The funding gap shown in section 1.1 already assumes the use of these receipts</w:t>
      </w:r>
      <w:r w:rsidR="001422F8" w:rsidRPr="00882976">
        <w:rPr>
          <w:rFonts w:cs="Arial"/>
        </w:rPr>
        <w:t xml:space="preserve"> in supporting the revenue budget under the new flexibilities which Councils can apply.</w:t>
      </w:r>
    </w:p>
    <w:p w14:paraId="5C680C3C" w14:textId="77777777" w:rsidR="00396E00" w:rsidRDefault="00396E00" w:rsidP="008D5D96">
      <w:pPr>
        <w:tabs>
          <w:tab w:val="left" w:pos="567"/>
          <w:tab w:val="left" w:pos="1134"/>
        </w:tabs>
        <w:spacing w:after="0"/>
        <w:rPr>
          <w:rFonts w:cs="Arial"/>
          <w:b/>
          <w:highlight w:val="yellow"/>
        </w:rPr>
      </w:pPr>
    </w:p>
    <w:p w14:paraId="2E8DC0B8" w14:textId="6DAD4C0B" w:rsidR="00E64FE0" w:rsidRDefault="00E64FE0" w:rsidP="008D5D96">
      <w:pPr>
        <w:tabs>
          <w:tab w:val="left" w:pos="567"/>
          <w:tab w:val="left" w:pos="1134"/>
        </w:tabs>
        <w:spacing w:after="0"/>
        <w:rPr>
          <w:rFonts w:cs="Arial"/>
          <w:b/>
          <w:highlight w:val="yellow"/>
        </w:rPr>
      </w:pPr>
    </w:p>
    <w:p w14:paraId="2C4B328A" w14:textId="77777777" w:rsidR="00E64FE0" w:rsidRPr="00882976" w:rsidRDefault="00E64FE0" w:rsidP="008D5D96">
      <w:pPr>
        <w:tabs>
          <w:tab w:val="left" w:pos="567"/>
          <w:tab w:val="left" w:pos="1134"/>
        </w:tabs>
        <w:spacing w:after="0"/>
        <w:rPr>
          <w:rFonts w:cs="Arial"/>
          <w:b/>
          <w:highlight w:val="yellow"/>
        </w:rPr>
      </w:pPr>
    </w:p>
    <w:p w14:paraId="1EAA46F8" w14:textId="77777777" w:rsidR="00932C3B" w:rsidRPr="00882976" w:rsidRDefault="00B76843" w:rsidP="008D5D96">
      <w:pPr>
        <w:tabs>
          <w:tab w:val="left" w:pos="567"/>
          <w:tab w:val="left" w:pos="1134"/>
        </w:tabs>
        <w:spacing w:after="0"/>
        <w:rPr>
          <w:rFonts w:cs="Arial"/>
          <w:b/>
        </w:rPr>
      </w:pPr>
      <w:r w:rsidRPr="00882976">
        <w:rPr>
          <w:rFonts w:cs="Arial"/>
          <w:b/>
        </w:rPr>
        <w:lastRenderedPageBreak/>
        <w:t>3</w:t>
      </w:r>
      <w:r w:rsidR="00932C3B" w:rsidRPr="00882976">
        <w:rPr>
          <w:rFonts w:cs="Arial"/>
          <w:b/>
        </w:rPr>
        <w:t>.</w:t>
      </w:r>
      <w:r w:rsidRPr="00882976">
        <w:rPr>
          <w:rFonts w:cs="Arial"/>
          <w:b/>
        </w:rPr>
        <w:t xml:space="preserve"> Net </w:t>
      </w:r>
      <w:r w:rsidR="00932C3B" w:rsidRPr="00882976">
        <w:rPr>
          <w:rFonts w:cs="Arial"/>
          <w:b/>
        </w:rPr>
        <w:t>Spending Pressures</w:t>
      </w:r>
    </w:p>
    <w:p w14:paraId="05716486" w14:textId="77777777" w:rsidR="00D31557" w:rsidRPr="00882976" w:rsidRDefault="00D31557" w:rsidP="008D5D96">
      <w:pPr>
        <w:tabs>
          <w:tab w:val="left" w:pos="567"/>
          <w:tab w:val="left" w:pos="1134"/>
        </w:tabs>
        <w:spacing w:after="0"/>
        <w:rPr>
          <w:rFonts w:cs="Arial"/>
          <w:b/>
        </w:rPr>
      </w:pPr>
    </w:p>
    <w:p w14:paraId="6A2A26A5" w14:textId="77777777" w:rsidR="00932C3B" w:rsidRPr="00882976" w:rsidRDefault="00D31557" w:rsidP="008D5D96">
      <w:pPr>
        <w:tabs>
          <w:tab w:val="left" w:pos="567"/>
          <w:tab w:val="left" w:pos="1134"/>
        </w:tabs>
        <w:spacing w:after="0"/>
        <w:rPr>
          <w:rFonts w:cs="Arial"/>
          <w:b/>
        </w:rPr>
      </w:pPr>
      <w:r w:rsidRPr="00882976">
        <w:rPr>
          <w:rFonts w:cs="Arial"/>
        </w:rPr>
        <w:t>The MTFS covers spending pressures including pay increases, contractual inflation, increased demand for services and the impact of previously agreed savings measures that are either no longer achievable at all or not to the scale or in the timeframes originally planned</w:t>
      </w:r>
      <w:r w:rsidRPr="00882976">
        <w:rPr>
          <w:rFonts w:cs="Arial"/>
          <w:b/>
        </w:rPr>
        <w:t>.</w:t>
      </w:r>
    </w:p>
    <w:p w14:paraId="4679609D" w14:textId="77777777" w:rsidR="00C37DF8" w:rsidRPr="00882976" w:rsidRDefault="00C37DF8" w:rsidP="008D5D96">
      <w:pPr>
        <w:spacing w:after="0"/>
        <w:rPr>
          <w:rFonts w:cs="Arial"/>
          <w:highlight w:val="yellow"/>
        </w:rPr>
      </w:pPr>
    </w:p>
    <w:p w14:paraId="600818F9" w14:textId="77777777" w:rsidR="0013756B" w:rsidRPr="00882976" w:rsidRDefault="00DC1BB5" w:rsidP="008D5D96">
      <w:pPr>
        <w:spacing w:after="0"/>
        <w:rPr>
          <w:rFonts w:cs="Arial"/>
          <w:b/>
        </w:rPr>
      </w:pPr>
      <w:r w:rsidRPr="00882976">
        <w:rPr>
          <w:rFonts w:cs="Arial"/>
          <w:b/>
        </w:rPr>
        <w:t>3</w:t>
      </w:r>
      <w:r w:rsidR="00145395" w:rsidRPr="00882976">
        <w:rPr>
          <w:rFonts w:cs="Arial"/>
          <w:b/>
        </w:rPr>
        <w:t>.</w:t>
      </w:r>
      <w:r w:rsidRPr="00882976">
        <w:rPr>
          <w:rFonts w:cs="Arial"/>
          <w:b/>
        </w:rPr>
        <w:t>1</w:t>
      </w:r>
      <w:r w:rsidR="00E57F56" w:rsidRPr="00882976">
        <w:rPr>
          <w:rFonts w:cs="Arial"/>
          <w:b/>
        </w:rPr>
        <w:t xml:space="preserve"> </w:t>
      </w:r>
      <w:r w:rsidR="00D31557" w:rsidRPr="00882976">
        <w:rPr>
          <w:rFonts w:cs="Arial"/>
          <w:b/>
        </w:rPr>
        <w:t>Pay</w:t>
      </w:r>
    </w:p>
    <w:p w14:paraId="31B2E4D8" w14:textId="77777777" w:rsidR="00D31557" w:rsidRPr="00882976" w:rsidRDefault="00D31557" w:rsidP="008D5D96">
      <w:pPr>
        <w:spacing w:after="0"/>
        <w:rPr>
          <w:rFonts w:cs="Arial"/>
          <w:b/>
        </w:rPr>
      </w:pPr>
    </w:p>
    <w:p w14:paraId="03F04065" w14:textId="15AC5F86" w:rsidR="006A0088" w:rsidRPr="00882976" w:rsidRDefault="00D31557" w:rsidP="00D31557">
      <w:pPr>
        <w:spacing w:after="0"/>
        <w:rPr>
          <w:rFonts w:cs="Arial"/>
        </w:rPr>
      </w:pPr>
      <w:r w:rsidRPr="00882976">
        <w:rPr>
          <w:rFonts w:cs="Arial"/>
        </w:rPr>
        <w:t xml:space="preserve">In the July </w:t>
      </w:r>
      <w:r w:rsidR="006A0088" w:rsidRPr="00882976">
        <w:rPr>
          <w:rFonts w:cs="Arial"/>
        </w:rPr>
        <w:t xml:space="preserve">2015 </w:t>
      </w:r>
      <w:r w:rsidRPr="00882976">
        <w:rPr>
          <w:rFonts w:cs="Arial"/>
        </w:rPr>
        <w:t>Budget the Chancellor announced a 4 year restriction on public sector pay increases at 1% per year. This assumpt</w:t>
      </w:r>
      <w:r w:rsidR="006A0088" w:rsidRPr="00882976">
        <w:rPr>
          <w:rFonts w:cs="Arial"/>
        </w:rPr>
        <w:t>ion</w:t>
      </w:r>
      <w:r w:rsidR="00E6630C" w:rsidRPr="00882976">
        <w:rPr>
          <w:rFonts w:cs="Arial"/>
        </w:rPr>
        <w:t xml:space="preserve"> was built into the current MTFS and remains</w:t>
      </w:r>
      <w:r w:rsidR="006A0088" w:rsidRPr="00882976">
        <w:rPr>
          <w:rFonts w:cs="Arial"/>
        </w:rPr>
        <w:t xml:space="preserve"> unchanged</w:t>
      </w:r>
      <w:r w:rsidR="00E6630C" w:rsidRPr="00882976">
        <w:rPr>
          <w:rFonts w:cs="Arial"/>
        </w:rPr>
        <w:t xml:space="preserve">, </w:t>
      </w:r>
      <w:r w:rsidR="006A0088" w:rsidRPr="00882976">
        <w:rPr>
          <w:rFonts w:cs="Arial"/>
        </w:rPr>
        <w:t>however a full review of the current staffing cohort and fut</w:t>
      </w:r>
      <w:r w:rsidR="00270A7A" w:rsidRPr="00882976">
        <w:rPr>
          <w:rFonts w:cs="Arial"/>
        </w:rPr>
        <w:t xml:space="preserve">ure savings that may impact on </w:t>
      </w:r>
      <w:r w:rsidR="006A0088" w:rsidRPr="00882976">
        <w:rPr>
          <w:rFonts w:cs="Arial"/>
        </w:rPr>
        <w:t>s</w:t>
      </w:r>
      <w:r w:rsidR="00270A7A" w:rsidRPr="00882976">
        <w:rPr>
          <w:rFonts w:cs="Arial"/>
        </w:rPr>
        <w:t>taffing</w:t>
      </w:r>
      <w:r w:rsidR="006A0088" w:rsidRPr="00882976">
        <w:rPr>
          <w:rFonts w:cs="Arial"/>
        </w:rPr>
        <w:t xml:space="preserve"> has been included. This also incorporates a separate calculation for the National Living Wage which the County Council is committed to paying its employees as an accredited member of the Living Wage Foundation. </w:t>
      </w:r>
      <w:r w:rsidR="009E3967" w:rsidRPr="00882976">
        <w:rPr>
          <w:rFonts w:cs="Arial"/>
        </w:rPr>
        <w:t xml:space="preserve">The pay requirement also includes a provisional amount for additional holiday pay to staff. </w:t>
      </w:r>
    </w:p>
    <w:p w14:paraId="4B07761D" w14:textId="77777777" w:rsidR="006A0088" w:rsidRPr="00882976" w:rsidRDefault="006A0088" w:rsidP="00D31557">
      <w:pPr>
        <w:spacing w:after="0"/>
        <w:rPr>
          <w:rFonts w:cs="Arial"/>
        </w:rPr>
      </w:pPr>
    </w:p>
    <w:p w14:paraId="7764282E" w14:textId="4EF105B6" w:rsidR="000A747F" w:rsidRPr="00882976" w:rsidRDefault="006A0088" w:rsidP="00D31557">
      <w:pPr>
        <w:spacing w:after="0"/>
        <w:rPr>
          <w:rFonts w:cs="Arial"/>
        </w:rPr>
      </w:pPr>
      <w:r w:rsidRPr="00882976">
        <w:rPr>
          <w:rFonts w:cs="Arial"/>
        </w:rPr>
        <w:t xml:space="preserve">As part of the review of the MTFS a resource requirement has been built in to fund the cost of increments that will be paid to staff as they progress up their respective grades. The staffing budgets have undergone a full realignment in 2016/17 with budgets being allocated on specific grade points at the start of 2016/17, </w:t>
      </w:r>
      <w:r w:rsidR="00727C82" w:rsidRPr="00882976">
        <w:rPr>
          <w:rFonts w:cs="Arial"/>
        </w:rPr>
        <w:t xml:space="preserve">with the staffing data being regularly reviewed as changes occur, particularly in relation to service restructures. </w:t>
      </w:r>
    </w:p>
    <w:p w14:paraId="79E6007D" w14:textId="77777777" w:rsidR="00060C9A" w:rsidRPr="00882976" w:rsidRDefault="00060C9A" w:rsidP="00D31557">
      <w:pPr>
        <w:spacing w:after="0"/>
        <w:rPr>
          <w:rFonts w:cs="Arial"/>
        </w:rPr>
      </w:pPr>
    </w:p>
    <w:p w14:paraId="07ADA836" w14:textId="36967E55" w:rsidR="00060C9A" w:rsidRPr="00882976" w:rsidRDefault="00060C9A" w:rsidP="00D31557">
      <w:pPr>
        <w:spacing w:after="0"/>
        <w:rPr>
          <w:rFonts w:cs="Arial"/>
        </w:rPr>
      </w:pPr>
      <w:r w:rsidRPr="00882976">
        <w:rPr>
          <w:rFonts w:cs="Arial"/>
        </w:rPr>
        <w:t xml:space="preserve">The pension's element of the pay budget has seen a reduction in this MTFS </w:t>
      </w:r>
      <w:r w:rsidR="00C37DF8" w:rsidRPr="00882976">
        <w:rPr>
          <w:rFonts w:cs="Arial"/>
        </w:rPr>
        <w:t xml:space="preserve">due to an over provision in the previous MTFS in relation to the </w:t>
      </w:r>
      <w:r w:rsidRPr="00882976">
        <w:rPr>
          <w:rFonts w:cs="Arial"/>
        </w:rPr>
        <w:t xml:space="preserve">County Council's estimated contribution </w:t>
      </w:r>
      <w:r w:rsidR="00C37DF8" w:rsidRPr="00882976">
        <w:rPr>
          <w:rFonts w:cs="Arial"/>
        </w:rPr>
        <w:t xml:space="preserve">rate and deficit contributions, with updated information recently received. </w:t>
      </w:r>
      <w:r w:rsidR="005F3006" w:rsidRPr="00882976">
        <w:rPr>
          <w:rFonts w:cs="Arial"/>
        </w:rPr>
        <w:t>There was previously £4.445m included for pensions in the MTFS for 2017/18, but this has now been revised to £1.390</w:t>
      </w:r>
      <w:r w:rsidR="00FC38FE" w:rsidRPr="00882976">
        <w:rPr>
          <w:rFonts w:cs="Arial"/>
        </w:rPr>
        <w:t>m</w:t>
      </w:r>
      <w:r w:rsidR="005F3006" w:rsidRPr="00882976">
        <w:rPr>
          <w:rFonts w:cs="Arial"/>
        </w:rPr>
        <w:t xml:space="preserve"> in 2017/18. </w:t>
      </w:r>
    </w:p>
    <w:p w14:paraId="694E39A7" w14:textId="77777777" w:rsidR="005F3006" w:rsidRPr="00882976" w:rsidRDefault="005F3006" w:rsidP="00D31557">
      <w:pPr>
        <w:spacing w:after="0"/>
        <w:rPr>
          <w:rFonts w:cs="Arial"/>
        </w:rPr>
      </w:pPr>
    </w:p>
    <w:p w14:paraId="03C2F56E" w14:textId="409AD138" w:rsidR="005F3006" w:rsidRPr="00882976" w:rsidRDefault="005F3006" w:rsidP="00D31557">
      <w:pPr>
        <w:spacing w:after="0"/>
        <w:rPr>
          <w:rFonts w:cs="Arial"/>
        </w:rPr>
      </w:pPr>
      <w:r w:rsidRPr="00882976">
        <w:rPr>
          <w:rFonts w:cs="Arial"/>
        </w:rPr>
        <w:t xml:space="preserve">The Chancellor has previously announced that an apprenticeship levy would be introduced to help fund employer apprenticeship schemes and "invest in Britain's future." The levy will be introduced in April 2017 at a rate of 0.5% of an employer’s pay bill, therefore an estimate of £1.500m has been included in this MTFS. </w:t>
      </w:r>
    </w:p>
    <w:p w14:paraId="4586307E" w14:textId="77777777" w:rsidR="00145DBC" w:rsidRPr="00882976" w:rsidRDefault="00145DBC" w:rsidP="00D31557">
      <w:pPr>
        <w:spacing w:after="0"/>
        <w:rPr>
          <w:rFonts w:cs="Arial"/>
        </w:rPr>
      </w:pPr>
    </w:p>
    <w:p w14:paraId="397C49CB" w14:textId="77777777" w:rsidR="00C37DF8" w:rsidRPr="00882976" w:rsidRDefault="00C37DF8" w:rsidP="00D31557">
      <w:pPr>
        <w:spacing w:after="0"/>
        <w:rPr>
          <w:rFonts w:cs="Arial"/>
        </w:rPr>
      </w:pPr>
    </w:p>
    <w:p w14:paraId="7027B3A8" w14:textId="77777777" w:rsidR="00C37DF8" w:rsidRPr="00882976" w:rsidRDefault="00C37DF8" w:rsidP="00D31557">
      <w:pPr>
        <w:spacing w:after="0"/>
        <w:rPr>
          <w:rFonts w:cs="Arial"/>
        </w:rPr>
      </w:pPr>
    </w:p>
    <w:p w14:paraId="3E2415BD" w14:textId="77777777" w:rsidR="00C37DF8" w:rsidRPr="00882976" w:rsidRDefault="00C37DF8" w:rsidP="00D31557">
      <w:pPr>
        <w:spacing w:after="0"/>
        <w:rPr>
          <w:rFonts w:cs="Arial"/>
        </w:rPr>
      </w:pPr>
    </w:p>
    <w:p w14:paraId="0962C81C" w14:textId="77777777" w:rsidR="00C37DF8" w:rsidRPr="00882976" w:rsidRDefault="00C37DF8" w:rsidP="00D31557">
      <w:pPr>
        <w:spacing w:after="0"/>
        <w:rPr>
          <w:rFonts w:cs="Arial"/>
        </w:rPr>
      </w:pPr>
    </w:p>
    <w:p w14:paraId="3781DBCE" w14:textId="77777777" w:rsidR="00C37DF8" w:rsidRDefault="00C37DF8" w:rsidP="00D31557">
      <w:pPr>
        <w:spacing w:after="0"/>
        <w:rPr>
          <w:rFonts w:cs="Arial"/>
        </w:rPr>
      </w:pPr>
    </w:p>
    <w:p w14:paraId="5B1C3090" w14:textId="77777777" w:rsidR="00EA5EC2" w:rsidRDefault="00EA5EC2" w:rsidP="00D31557">
      <w:pPr>
        <w:spacing w:after="0"/>
        <w:rPr>
          <w:rFonts w:cs="Arial"/>
        </w:rPr>
      </w:pPr>
    </w:p>
    <w:p w14:paraId="5BDEAB60" w14:textId="77777777" w:rsidR="00E64FE0" w:rsidRDefault="00E64FE0" w:rsidP="00D31557">
      <w:pPr>
        <w:spacing w:after="0"/>
        <w:rPr>
          <w:rFonts w:cs="Arial"/>
        </w:rPr>
      </w:pPr>
    </w:p>
    <w:p w14:paraId="08617A83" w14:textId="77777777" w:rsidR="00E64FE0" w:rsidRDefault="00E64FE0" w:rsidP="00D31557">
      <w:pPr>
        <w:spacing w:after="0"/>
        <w:rPr>
          <w:rFonts w:cs="Arial"/>
        </w:rPr>
      </w:pPr>
    </w:p>
    <w:p w14:paraId="1EA5B800" w14:textId="77777777" w:rsidR="00E64FE0" w:rsidRDefault="00E64FE0" w:rsidP="00D31557">
      <w:pPr>
        <w:spacing w:after="0"/>
        <w:rPr>
          <w:rFonts w:cs="Arial"/>
        </w:rPr>
      </w:pPr>
    </w:p>
    <w:p w14:paraId="5690AB9E" w14:textId="77777777" w:rsidR="00E64FE0" w:rsidRDefault="00E64FE0" w:rsidP="00D31557">
      <w:pPr>
        <w:spacing w:after="0"/>
        <w:rPr>
          <w:rFonts w:cs="Arial"/>
        </w:rPr>
      </w:pPr>
    </w:p>
    <w:p w14:paraId="0714C184" w14:textId="77777777" w:rsidR="00E64FE0" w:rsidRDefault="00E64FE0" w:rsidP="00D31557">
      <w:pPr>
        <w:spacing w:after="0"/>
        <w:rPr>
          <w:rFonts w:cs="Arial"/>
        </w:rPr>
      </w:pPr>
    </w:p>
    <w:p w14:paraId="425094C2" w14:textId="77777777" w:rsidR="00E64FE0" w:rsidRDefault="00E64FE0" w:rsidP="00D31557">
      <w:pPr>
        <w:spacing w:after="0"/>
        <w:rPr>
          <w:rFonts w:cs="Arial"/>
        </w:rPr>
      </w:pPr>
    </w:p>
    <w:p w14:paraId="2867ABF9" w14:textId="77777777" w:rsidR="00E64FE0" w:rsidRPr="00882976" w:rsidRDefault="00E64FE0" w:rsidP="00D31557">
      <w:pPr>
        <w:spacing w:after="0"/>
        <w:rPr>
          <w:rFonts w:cs="Arial"/>
        </w:rPr>
      </w:pPr>
    </w:p>
    <w:p w14:paraId="0BDA4BCD" w14:textId="77777777" w:rsidR="00C37DF8" w:rsidRPr="00882976" w:rsidRDefault="00C37DF8" w:rsidP="00D31557">
      <w:pPr>
        <w:spacing w:after="0"/>
        <w:rPr>
          <w:rFonts w:cs="Arial"/>
        </w:rPr>
      </w:pPr>
    </w:p>
    <w:p w14:paraId="63B25AD6" w14:textId="3FB164B7" w:rsidR="006A0088" w:rsidRPr="00882976" w:rsidRDefault="006A0088" w:rsidP="00D31557">
      <w:pPr>
        <w:spacing w:after="0"/>
        <w:rPr>
          <w:rFonts w:cs="Arial"/>
        </w:rPr>
      </w:pPr>
      <w:r w:rsidRPr="00882976">
        <w:rPr>
          <w:rFonts w:cs="Arial"/>
        </w:rPr>
        <w:lastRenderedPageBreak/>
        <w:t>The table below presents the amounts already built into the MTFS for pay and the impact of the revised calculation:</w:t>
      </w:r>
    </w:p>
    <w:p w14:paraId="6B872919" w14:textId="77777777" w:rsidR="00D31557" w:rsidRPr="00882976" w:rsidRDefault="00D31557" w:rsidP="00D31557">
      <w:pPr>
        <w:spacing w:after="0"/>
        <w:rPr>
          <w:rFonts w:cs="Arial"/>
        </w:rPr>
      </w:pPr>
    </w:p>
    <w:tbl>
      <w:tblPr>
        <w:tblStyle w:val="TableGrid8"/>
        <w:tblW w:w="8227" w:type="dxa"/>
        <w:jc w:val="center"/>
        <w:tblLook w:val="04A0" w:firstRow="1" w:lastRow="0" w:firstColumn="1" w:lastColumn="0" w:noHBand="0" w:noVBand="1"/>
      </w:tblPr>
      <w:tblGrid>
        <w:gridCol w:w="2796"/>
        <w:gridCol w:w="1084"/>
        <w:gridCol w:w="1084"/>
        <w:gridCol w:w="1084"/>
        <w:gridCol w:w="1084"/>
        <w:gridCol w:w="1095"/>
      </w:tblGrid>
      <w:tr w:rsidR="006A0088" w:rsidRPr="00882976" w14:paraId="2E8C329C" w14:textId="77777777" w:rsidTr="005C03EB">
        <w:trPr>
          <w:trHeight w:val="724"/>
          <w:jc w:val="center"/>
        </w:trPr>
        <w:tc>
          <w:tcPr>
            <w:tcW w:w="2796" w:type="dxa"/>
            <w:shd w:val="clear" w:color="auto" w:fill="BFBFBF" w:themeFill="background1" w:themeFillShade="BF"/>
          </w:tcPr>
          <w:p w14:paraId="3B409B38" w14:textId="77777777" w:rsidR="006A0088" w:rsidRPr="00882976" w:rsidRDefault="006A0088" w:rsidP="005B6A8A">
            <w:pPr>
              <w:tabs>
                <w:tab w:val="left" w:pos="567"/>
                <w:tab w:val="left" w:pos="1134"/>
              </w:tabs>
              <w:spacing w:after="0"/>
              <w:rPr>
                <w:rFonts w:cs="Arial"/>
              </w:rPr>
            </w:pPr>
          </w:p>
        </w:tc>
        <w:tc>
          <w:tcPr>
            <w:tcW w:w="0" w:type="auto"/>
            <w:shd w:val="clear" w:color="auto" w:fill="BFBFBF" w:themeFill="background1" w:themeFillShade="BF"/>
            <w:vAlign w:val="center"/>
          </w:tcPr>
          <w:p w14:paraId="206F6446" w14:textId="77777777" w:rsidR="006A0088" w:rsidRPr="00882976" w:rsidRDefault="006A0088" w:rsidP="005B6A8A">
            <w:pPr>
              <w:tabs>
                <w:tab w:val="left" w:pos="567"/>
                <w:tab w:val="left" w:pos="1134"/>
              </w:tabs>
              <w:spacing w:after="0"/>
              <w:jc w:val="center"/>
              <w:rPr>
                <w:rFonts w:cs="Arial"/>
                <w:b/>
              </w:rPr>
            </w:pPr>
            <w:r w:rsidRPr="00882976">
              <w:rPr>
                <w:rFonts w:cs="Arial"/>
                <w:b/>
              </w:rPr>
              <w:t>2017/18</w:t>
            </w:r>
          </w:p>
          <w:p w14:paraId="6C66A220" w14:textId="77777777" w:rsidR="006A0088" w:rsidRPr="00882976" w:rsidRDefault="006A0088" w:rsidP="005B6A8A">
            <w:pPr>
              <w:tabs>
                <w:tab w:val="left" w:pos="567"/>
                <w:tab w:val="left" w:pos="1134"/>
              </w:tabs>
              <w:spacing w:after="0"/>
              <w:jc w:val="center"/>
              <w:rPr>
                <w:rFonts w:cs="Arial"/>
                <w:b/>
              </w:rPr>
            </w:pPr>
            <w:r w:rsidRPr="00882976">
              <w:rPr>
                <w:rFonts w:cs="Arial"/>
                <w:b/>
              </w:rPr>
              <w:t>£m</w:t>
            </w:r>
          </w:p>
        </w:tc>
        <w:tc>
          <w:tcPr>
            <w:tcW w:w="0" w:type="auto"/>
            <w:shd w:val="clear" w:color="auto" w:fill="BFBFBF" w:themeFill="background1" w:themeFillShade="BF"/>
            <w:vAlign w:val="center"/>
          </w:tcPr>
          <w:p w14:paraId="38669784" w14:textId="77777777" w:rsidR="006A0088" w:rsidRPr="00882976" w:rsidRDefault="006A0088" w:rsidP="005B6A8A">
            <w:pPr>
              <w:tabs>
                <w:tab w:val="left" w:pos="567"/>
                <w:tab w:val="left" w:pos="1134"/>
              </w:tabs>
              <w:spacing w:after="0"/>
              <w:jc w:val="center"/>
              <w:rPr>
                <w:rFonts w:cs="Arial"/>
                <w:b/>
              </w:rPr>
            </w:pPr>
            <w:r w:rsidRPr="00882976">
              <w:rPr>
                <w:rFonts w:cs="Arial"/>
                <w:b/>
              </w:rPr>
              <w:t>2018/19</w:t>
            </w:r>
          </w:p>
          <w:p w14:paraId="52CF8063" w14:textId="77777777" w:rsidR="006A0088" w:rsidRPr="00882976" w:rsidRDefault="006A0088" w:rsidP="005B6A8A">
            <w:pPr>
              <w:tabs>
                <w:tab w:val="left" w:pos="567"/>
                <w:tab w:val="left" w:pos="1134"/>
              </w:tabs>
              <w:spacing w:after="0"/>
              <w:jc w:val="center"/>
              <w:rPr>
                <w:rFonts w:cs="Arial"/>
                <w:b/>
              </w:rPr>
            </w:pPr>
            <w:r w:rsidRPr="00882976">
              <w:rPr>
                <w:rFonts w:cs="Arial"/>
                <w:b/>
              </w:rPr>
              <w:t>£m</w:t>
            </w:r>
          </w:p>
        </w:tc>
        <w:tc>
          <w:tcPr>
            <w:tcW w:w="0" w:type="auto"/>
            <w:shd w:val="clear" w:color="auto" w:fill="BFBFBF" w:themeFill="background1" w:themeFillShade="BF"/>
            <w:vAlign w:val="center"/>
          </w:tcPr>
          <w:p w14:paraId="7D7D4335" w14:textId="77777777" w:rsidR="006A0088" w:rsidRPr="00882976" w:rsidRDefault="006A0088" w:rsidP="005B6A8A">
            <w:pPr>
              <w:tabs>
                <w:tab w:val="left" w:pos="567"/>
                <w:tab w:val="left" w:pos="1134"/>
              </w:tabs>
              <w:spacing w:after="0"/>
              <w:jc w:val="center"/>
              <w:rPr>
                <w:rFonts w:cs="Arial"/>
                <w:b/>
              </w:rPr>
            </w:pPr>
            <w:r w:rsidRPr="00882976">
              <w:rPr>
                <w:rFonts w:cs="Arial"/>
                <w:b/>
              </w:rPr>
              <w:t>2019/20</w:t>
            </w:r>
          </w:p>
          <w:p w14:paraId="49884203" w14:textId="77777777" w:rsidR="006A0088" w:rsidRPr="00882976" w:rsidRDefault="006A0088" w:rsidP="005B6A8A">
            <w:pPr>
              <w:tabs>
                <w:tab w:val="left" w:pos="567"/>
                <w:tab w:val="left" w:pos="1134"/>
              </w:tabs>
              <w:spacing w:after="0"/>
              <w:jc w:val="center"/>
              <w:rPr>
                <w:rFonts w:cs="Arial"/>
                <w:b/>
              </w:rPr>
            </w:pPr>
            <w:r w:rsidRPr="00882976">
              <w:rPr>
                <w:rFonts w:cs="Arial"/>
                <w:b/>
              </w:rPr>
              <w:t>£m</w:t>
            </w:r>
          </w:p>
        </w:tc>
        <w:tc>
          <w:tcPr>
            <w:tcW w:w="0" w:type="auto"/>
            <w:shd w:val="clear" w:color="auto" w:fill="BFBFBF" w:themeFill="background1" w:themeFillShade="BF"/>
            <w:vAlign w:val="center"/>
          </w:tcPr>
          <w:p w14:paraId="0B594D60" w14:textId="77777777" w:rsidR="006A0088" w:rsidRPr="00882976" w:rsidRDefault="006A0088" w:rsidP="005B6A8A">
            <w:pPr>
              <w:tabs>
                <w:tab w:val="left" w:pos="567"/>
                <w:tab w:val="left" w:pos="1134"/>
              </w:tabs>
              <w:spacing w:after="0"/>
              <w:jc w:val="center"/>
              <w:rPr>
                <w:rFonts w:cs="Arial"/>
                <w:b/>
              </w:rPr>
            </w:pPr>
            <w:r w:rsidRPr="00882976">
              <w:rPr>
                <w:rFonts w:cs="Arial"/>
                <w:b/>
              </w:rPr>
              <w:t>2020/21</w:t>
            </w:r>
          </w:p>
          <w:p w14:paraId="7BFA1F02" w14:textId="77777777" w:rsidR="006A0088" w:rsidRPr="00882976" w:rsidRDefault="006A0088" w:rsidP="005B6A8A">
            <w:pPr>
              <w:tabs>
                <w:tab w:val="left" w:pos="567"/>
                <w:tab w:val="left" w:pos="1134"/>
              </w:tabs>
              <w:spacing w:after="0"/>
              <w:jc w:val="center"/>
              <w:rPr>
                <w:rFonts w:cs="Arial"/>
                <w:b/>
              </w:rPr>
            </w:pPr>
            <w:r w:rsidRPr="00882976">
              <w:rPr>
                <w:rFonts w:cs="Arial"/>
                <w:b/>
              </w:rPr>
              <w:t>£m</w:t>
            </w:r>
          </w:p>
        </w:tc>
        <w:tc>
          <w:tcPr>
            <w:tcW w:w="1095" w:type="dxa"/>
            <w:shd w:val="clear" w:color="auto" w:fill="BFBFBF" w:themeFill="background1" w:themeFillShade="BF"/>
            <w:vAlign w:val="center"/>
          </w:tcPr>
          <w:p w14:paraId="45848657" w14:textId="77777777" w:rsidR="006A0088" w:rsidRPr="00882976" w:rsidRDefault="006A0088" w:rsidP="005B6A8A">
            <w:pPr>
              <w:tabs>
                <w:tab w:val="left" w:pos="567"/>
                <w:tab w:val="left" w:pos="1134"/>
              </w:tabs>
              <w:spacing w:after="0"/>
              <w:jc w:val="center"/>
              <w:rPr>
                <w:rFonts w:cs="Arial"/>
                <w:b/>
              </w:rPr>
            </w:pPr>
            <w:r w:rsidRPr="00882976">
              <w:rPr>
                <w:rFonts w:cs="Arial"/>
                <w:b/>
              </w:rPr>
              <w:t>Total</w:t>
            </w:r>
          </w:p>
          <w:p w14:paraId="08227FC4" w14:textId="77777777" w:rsidR="006A0088" w:rsidRPr="00882976" w:rsidRDefault="006A0088" w:rsidP="005B6A8A">
            <w:pPr>
              <w:tabs>
                <w:tab w:val="left" w:pos="567"/>
                <w:tab w:val="left" w:pos="1134"/>
              </w:tabs>
              <w:spacing w:after="0"/>
              <w:jc w:val="center"/>
              <w:rPr>
                <w:rFonts w:cs="Arial"/>
                <w:b/>
              </w:rPr>
            </w:pPr>
            <w:r w:rsidRPr="00882976">
              <w:rPr>
                <w:rFonts w:cs="Arial"/>
                <w:b/>
              </w:rPr>
              <w:t>£m</w:t>
            </w:r>
          </w:p>
        </w:tc>
      </w:tr>
      <w:tr w:rsidR="006A0088" w:rsidRPr="00882976" w14:paraId="56208938" w14:textId="77777777" w:rsidTr="005C03EB">
        <w:trPr>
          <w:trHeight w:val="593"/>
          <w:jc w:val="center"/>
        </w:trPr>
        <w:tc>
          <w:tcPr>
            <w:tcW w:w="2796" w:type="dxa"/>
            <w:vAlign w:val="center"/>
          </w:tcPr>
          <w:p w14:paraId="537E4B2F" w14:textId="0F750783" w:rsidR="006A0088" w:rsidRPr="00882976" w:rsidRDefault="006A0088" w:rsidP="005B6A8A">
            <w:pPr>
              <w:tabs>
                <w:tab w:val="left" w:pos="567"/>
                <w:tab w:val="left" w:pos="1134"/>
              </w:tabs>
              <w:spacing w:after="0"/>
              <w:jc w:val="left"/>
              <w:rPr>
                <w:rFonts w:cs="Arial"/>
                <w:b/>
              </w:rPr>
            </w:pPr>
            <w:r w:rsidRPr="00882976">
              <w:rPr>
                <w:rFonts w:cs="Arial"/>
                <w:b/>
              </w:rPr>
              <w:t xml:space="preserve">Pay </w:t>
            </w:r>
            <w:r w:rsidR="00727C82" w:rsidRPr="00882976">
              <w:rPr>
                <w:rFonts w:cs="Arial"/>
                <w:b/>
              </w:rPr>
              <w:t xml:space="preserve">(including Pensions) </w:t>
            </w:r>
            <w:r w:rsidRPr="00882976">
              <w:rPr>
                <w:rFonts w:cs="Arial"/>
                <w:b/>
              </w:rPr>
              <w:t>– Previous MTFS</w:t>
            </w:r>
          </w:p>
        </w:tc>
        <w:tc>
          <w:tcPr>
            <w:tcW w:w="0" w:type="auto"/>
            <w:vAlign w:val="center"/>
          </w:tcPr>
          <w:p w14:paraId="280B5FB0" w14:textId="54B48EA9" w:rsidR="006A0088" w:rsidRPr="00882976" w:rsidRDefault="00727C82" w:rsidP="005B6A8A">
            <w:pPr>
              <w:tabs>
                <w:tab w:val="left" w:pos="567"/>
                <w:tab w:val="left" w:pos="1134"/>
              </w:tabs>
              <w:spacing w:after="0"/>
              <w:jc w:val="center"/>
              <w:rPr>
                <w:rFonts w:cs="Arial"/>
                <w:b/>
              </w:rPr>
            </w:pPr>
            <w:r w:rsidRPr="00882976">
              <w:rPr>
                <w:rFonts w:cs="Arial"/>
                <w:b/>
              </w:rPr>
              <w:t>9.891</w:t>
            </w:r>
          </w:p>
        </w:tc>
        <w:tc>
          <w:tcPr>
            <w:tcW w:w="0" w:type="auto"/>
            <w:vAlign w:val="center"/>
          </w:tcPr>
          <w:p w14:paraId="5762A59F" w14:textId="2C8A84E6" w:rsidR="006A0088" w:rsidRPr="00882976" w:rsidRDefault="00B63BF2" w:rsidP="005B6A8A">
            <w:pPr>
              <w:tabs>
                <w:tab w:val="left" w:pos="567"/>
                <w:tab w:val="left" w:pos="1134"/>
              </w:tabs>
              <w:spacing w:after="0"/>
              <w:jc w:val="center"/>
              <w:rPr>
                <w:rFonts w:cs="Arial"/>
                <w:b/>
              </w:rPr>
            </w:pPr>
            <w:r w:rsidRPr="00882976">
              <w:rPr>
                <w:rFonts w:cs="Arial"/>
                <w:b/>
              </w:rPr>
              <w:t>5.130</w:t>
            </w:r>
          </w:p>
        </w:tc>
        <w:tc>
          <w:tcPr>
            <w:tcW w:w="0" w:type="auto"/>
            <w:vAlign w:val="center"/>
          </w:tcPr>
          <w:p w14:paraId="7E78B7EC" w14:textId="591944A5" w:rsidR="006A0088" w:rsidRPr="00882976" w:rsidRDefault="00B63BF2" w:rsidP="005B6A8A">
            <w:pPr>
              <w:tabs>
                <w:tab w:val="left" w:pos="567"/>
                <w:tab w:val="left" w:pos="1134"/>
              </w:tabs>
              <w:spacing w:after="0"/>
              <w:jc w:val="center"/>
              <w:rPr>
                <w:rFonts w:cs="Arial"/>
                <w:b/>
              </w:rPr>
            </w:pPr>
            <w:r w:rsidRPr="00882976">
              <w:rPr>
                <w:rFonts w:cs="Arial"/>
                <w:b/>
              </w:rPr>
              <w:t>5.132</w:t>
            </w:r>
          </w:p>
        </w:tc>
        <w:tc>
          <w:tcPr>
            <w:tcW w:w="0" w:type="auto"/>
            <w:vAlign w:val="center"/>
          </w:tcPr>
          <w:p w14:paraId="7834DFE7" w14:textId="396B46A8" w:rsidR="006A0088" w:rsidRPr="00882976" w:rsidRDefault="00B63BF2" w:rsidP="005B6A8A">
            <w:pPr>
              <w:tabs>
                <w:tab w:val="left" w:pos="567"/>
                <w:tab w:val="left" w:pos="1134"/>
              </w:tabs>
              <w:spacing w:after="0"/>
              <w:jc w:val="center"/>
              <w:rPr>
                <w:rFonts w:cs="Arial"/>
                <w:b/>
              </w:rPr>
            </w:pPr>
            <w:r w:rsidRPr="00882976">
              <w:rPr>
                <w:rFonts w:cs="Arial"/>
                <w:b/>
              </w:rPr>
              <w:t>5.689</w:t>
            </w:r>
          </w:p>
        </w:tc>
        <w:tc>
          <w:tcPr>
            <w:tcW w:w="1095" w:type="dxa"/>
            <w:vAlign w:val="center"/>
          </w:tcPr>
          <w:p w14:paraId="1F7E94D6" w14:textId="674C37A7" w:rsidR="006A0088" w:rsidRPr="00882976" w:rsidRDefault="00727C82" w:rsidP="005B6A8A">
            <w:pPr>
              <w:tabs>
                <w:tab w:val="left" w:pos="567"/>
                <w:tab w:val="left" w:pos="1134"/>
              </w:tabs>
              <w:spacing w:after="0"/>
              <w:jc w:val="center"/>
              <w:rPr>
                <w:rFonts w:cs="Arial"/>
                <w:b/>
              </w:rPr>
            </w:pPr>
            <w:r w:rsidRPr="00882976">
              <w:rPr>
                <w:rFonts w:cs="Arial"/>
                <w:b/>
              </w:rPr>
              <w:t>25.842</w:t>
            </w:r>
          </w:p>
        </w:tc>
      </w:tr>
      <w:tr w:rsidR="006A0088" w:rsidRPr="00882976" w14:paraId="3B7AAB19" w14:textId="77777777" w:rsidTr="005C03EB">
        <w:trPr>
          <w:trHeight w:val="313"/>
          <w:jc w:val="center"/>
        </w:trPr>
        <w:tc>
          <w:tcPr>
            <w:tcW w:w="2796" w:type="dxa"/>
            <w:vAlign w:val="center"/>
          </w:tcPr>
          <w:p w14:paraId="44D07BE5" w14:textId="77777777" w:rsidR="006A0088" w:rsidRPr="00882976" w:rsidRDefault="006A0088" w:rsidP="005B6A8A">
            <w:pPr>
              <w:tabs>
                <w:tab w:val="left" w:pos="567"/>
                <w:tab w:val="left" w:pos="1134"/>
              </w:tabs>
              <w:spacing w:after="0"/>
              <w:jc w:val="left"/>
              <w:rPr>
                <w:rFonts w:cs="Arial"/>
              </w:rPr>
            </w:pPr>
          </w:p>
        </w:tc>
        <w:tc>
          <w:tcPr>
            <w:tcW w:w="0" w:type="auto"/>
            <w:vAlign w:val="center"/>
          </w:tcPr>
          <w:p w14:paraId="0D2DE57F" w14:textId="77777777" w:rsidR="006A0088" w:rsidRPr="00882976" w:rsidRDefault="006A0088" w:rsidP="005B6A8A">
            <w:pPr>
              <w:tabs>
                <w:tab w:val="left" w:pos="567"/>
                <w:tab w:val="left" w:pos="1134"/>
              </w:tabs>
              <w:spacing w:after="0"/>
              <w:jc w:val="center"/>
              <w:rPr>
                <w:rFonts w:cs="Arial"/>
              </w:rPr>
            </w:pPr>
          </w:p>
        </w:tc>
        <w:tc>
          <w:tcPr>
            <w:tcW w:w="0" w:type="auto"/>
            <w:vAlign w:val="center"/>
          </w:tcPr>
          <w:p w14:paraId="34CA02CB" w14:textId="77777777" w:rsidR="006A0088" w:rsidRPr="00882976" w:rsidRDefault="006A0088" w:rsidP="005B6A8A">
            <w:pPr>
              <w:tabs>
                <w:tab w:val="left" w:pos="567"/>
                <w:tab w:val="left" w:pos="1134"/>
              </w:tabs>
              <w:spacing w:after="0"/>
              <w:jc w:val="center"/>
              <w:rPr>
                <w:rFonts w:cs="Arial"/>
              </w:rPr>
            </w:pPr>
          </w:p>
        </w:tc>
        <w:tc>
          <w:tcPr>
            <w:tcW w:w="0" w:type="auto"/>
            <w:vAlign w:val="center"/>
          </w:tcPr>
          <w:p w14:paraId="44D9EE6D" w14:textId="77777777" w:rsidR="006A0088" w:rsidRPr="00882976" w:rsidRDefault="006A0088" w:rsidP="005B6A8A">
            <w:pPr>
              <w:tabs>
                <w:tab w:val="left" w:pos="567"/>
                <w:tab w:val="left" w:pos="1134"/>
              </w:tabs>
              <w:spacing w:after="0"/>
              <w:jc w:val="center"/>
              <w:rPr>
                <w:rFonts w:cs="Arial"/>
              </w:rPr>
            </w:pPr>
          </w:p>
        </w:tc>
        <w:tc>
          <w:tcPr>
            <w:tcW w:w="0" w:type="auto"/>
            <w:vAlign w:val="center"/>
          </w:tcPr>
          <w:p w14:paraId="779CACC7" w14:textId="77777777" w:rsidR="006A0088" w:rsidRPr="00882976" w:rsidRDefault="006A0088" w:rsidP="005B6A8A">
            <w:pPr>
              <w:tabs>
                <w:tab w:val="left" w:pos="567"/>
                <w:tab w:val="left" w:pos="1134"/>
              </w:tabs>
              <w:spacing w:after="0"/>
              <w:jc w:val="center"/>
              <w:rPr>
                <w:rFonts w:cs="Arial"/>
              </w:rPr>
            </w:pPr>
          </w:p>
        </w:tc>
        <w:tc>
          <w:tcPr>
            <w:tcW w:w="1095" w:type="dxa"/>
            <w:vAlign w:val="center"/>
          </w:tcPr>
          <w:p w14:paraId="509D3EAF" w14:textId="77777777" w:rsidR="006A0088" w:rsidRPr="00882976" w:rsidRDefault="006A0088" w:rsidP="005B6A8A">
            <w:pPr>
              <w:tabs>
                <w:tab w:val="left" w:pos="567"/>
                <w:tab w:val="left" w:pos="1134"/>
              </w:tabs>
              <w:spacing w:after="0"/>
              <w:jc w:val="center"/>
              <w:rPr>
                <w:rFonts w:cs="Arial"/>
                <w:b/>
              </w:rPr>
            </w:pPr>
          </w:p>
        </w:tc>
      </w:tr>
      <w:tr w:rsidR="006A0088" w:rsidRPr="00882976" w14:paraId="08C33098" w14:textId="77777777" w:rsidTr="00060C9A">
        <w:trPr>
          <w:trHeight w:val="593"/>
          <w:jc w:val="center"/>
        </w:trPr>
        <w:tc>
          <w:tcPr>
            <w:tcW w:w="2796" w:type="dxa"/>
            <w:vAlign w:val="center"/>
          </w:tcPr>
          <w:p w14:paraId="393CFB04" w14:textId="3CF302A9" w:rsidR="006A0088" w:rsidRPr="00882976" w:rsidRDefault="006A0088" w:rsidP="005B6A8A">
            <w:pPr>
              <w:tabs>
                <w:tab w:val="left" w:pos="567"/>
                <w:tab w:val="left" w:pos="1134"/>
              </w:tabs>
              <w:spacing w:after="0"/>
              <w:jc w:val="left"/>
              <w:rPr>
                <w:rFonts w:cs="Arial"/>
              </w:rPr>
            </w:pPr>
            <w:r w:rsidRPr="00882976">
              <w:rPr>
                <w:rFonts w:cs="Arial"/>
              </w:rPr>
              <w:t xml:space="preserve">Pay requirement (1% increase and Living Wage) </w:t>
            </w:r>
          </w:p>
        </w:tc>
        <w:tc>
          <w:tcPr>
            <w:tcW w:w="0" w:type="auto"/>
            <w:vAlign w:val="center"/>
          </w:tcPr>
          <w:p w14:paraId="292BA9B2" w14:textId="7E6DD95F" w:rsidR="006A0088" w:rsidRPr="00882976" w:rsidRDefault="009E3967" w:rsidP="00060C9A">
            <w:pPr>
              <w:tabs>
                <w:tab w:val="left" w:pos="567"/>
                <w:tab w:val="left" w:pos="1134"/>
              </w:tabs>
              <w:spacing w:after="0"/>
              <w:jc w:val="center"/>
              <w:rPr>
                <w:rFonts w:cs="Arial"/>
              </w:rPr>
            </w:pPr>
            <w:r w:rsidRPr="00882976">
              <w:rPr>
                <w:rFonts w:cs="Arial"/>
              </w:rPr>
              <w:t>4.422</w:t>
            </w:r>
          </w:p>
        </w:tc>
        <w:tc>
          <w:tcPr>
            <w:tcW w:w="0" w:type="auto"/>
            <w:vAlign w:val="center"/>
          </w:tcPr>
          <w:p w14:paraId="0B19DD6C" w14:textId="43CC96BA" w:rsidR="006A0088" w:rsidRPr="00882976" w:rsidRDefault="009E3967" w:rsidP="005B6A8A">
            <w:pPr>
              <w:tabs>
                <w:tab w:val="left" w:pos="567"/>
                <w:tab w:val="left" w:pos="1134"/>
              </w:tabs>
              <w:spacing w:after="0"/>
              <w:jc w:val="center"/>
              <w:rPr>
                <w:rFonts w:cs="Arial"/>
              </w:rPr>
            </w:pPr>
            <w:r w:rsidRPr="00882976">
              <w:rPr>
                <w:rFonts w:cs="Arial"/>
              </w:rPr>
              <w:t>2.933</w:t>
            </w:r>
          </w:p>
        </w:tc>
        <w:tc>
          <w:tcPr>
            <w:tcW w:w="0" w:type="auto"/>
            <w:vAlign w:val="center"/>
          </w:tcPr>
          <w:p w14:paraId="7A501DD8" w14:textId="069F0245" w:rsidR="006A0088" w:rsidRPr="00882976" w:rsidRDefault="008E6C28" w:rsidP="005B6A8A">
            <w:pPr>
              <w:tabs>
                <w:tab w:val="left" w:pos="567"/>
                <w:tab w:val="left" w:pos="1134"/>
              </w:tabs>
              <w:spacing w:after="0"/>
              <w:jc w:val="center"/>
              <w:rPr>
                <w:rFonts w:cs="Arial"/>
              </w:rPr>
            </w:pPr>
            <w:r w:rsidRPr="00882976">
              <w:rPr>
                <w:rFonts w:cs="Arial"/>
              </w:rPr>
              <w:t>3.518</w:t>
            </w:r>
          </w:p>
        </w:tc>
        <w:tc>
          <w:tcPr>
            <w:tcW w:w="0" w:type="auto"/>
            <w:vAlign w:val="center"/>
          </w:tcPr>
          <w:p w14:paraId="6E95EEB6" w14:textId="36E2901E" w:rsidR="006A0088" w:rsidRPr="00882976" w:rsidRDefault="009E3967" w:rsidP="005B6A8A">
            <w:pPr>
              <w:tabs>
                <w:tab w:val="left" w:pos="567"/>
                <w:tab w:val="left" w:pos="1134"/>
              </w:tabs>
              <w:spacing w:after="0"/>
              <w:jc w:val="center"/>
              <w:rPr>
                <w:rFonts w:cs="Arial"/>
              </w:rPr>
            </w:pPr>
            <w:r w:rsidRPr="00882976">
              <w:rPr>
                <w:rFonts w:cs="Arial"/>
              </w:rPr>
              <w:t>4.229</w:t>
            </w:r>
          </w:p>
        </w:tc>
        <w:tc>
          <w:tcPr>
            <w:tcW w:w="1095" w:type="dxa"/>
            <w:vAlign w:val="center"/>
          </w:tcPr>
          <w:p w14:paraId="08F3B714" w14:textId="4A0D891E" w:rsidR="006A0088" w:rsidRPr="00882976" w:rsidRDefault="000F0D26" w:rsidP="005B6A8A">
            <w:pPr>
              <w:tabs>
                <w:tab w:val="left" w:pos="567"/>
                <w:tab w:val="left" w:pos="1134"/>
              </w:tabs>
              <w:spacing w:after="0"/>
              <w:jc w:val="center"/>
              <w:rPr>
                <w:rFonts w:cs="Arial"/>
                <w:b/>
              </w:rPr>
            </w:pPr>
            <w:r w:rsidRPr="00882976">
              <w:rPr>
                <w:rFonts w:cs="Arial"/>
                <w:b/>
              </w:rPr>
              <w:t>15.10</w:t>
            </w:r>
            <w:r w:rsidR="009E3967" w:rsidRPr="00882976">
              <w:rPr>
                <w:rFonts w:cs="Arial"/>
                <w:b/>
              </w:rPr>
              <w:t>2</w:t>
            </w:r>
          </w:p>
        </w:tc>
      </w:tr>
      <w:tr w:rsidR="006A0088" w:rsidRPr="00882976" w14:paraId="3300F60F" w14:textId="77777777" w:rsidTr="005C03EB">
        <w:trPr>
          <w:trHeight w:val="593"/>
          <w:jc w:val="center"/>
        </w:trPr>
        <w:tc>
          <w:tcPr>
            <w:tcW w:w="2796" w:type="dxa"/>
            <w:vAlign w:val="center"/>
          </w:tcPr>
          <w:p w14:paraId="76CC4520" w14:textId="46EC7C02" w:rsidR="006A0088" w:rsidRPr="00882976" w:rsidRDefault="006A0088" w:rsidP="005B6A8A">
            <w:pPr>
              <w:tabs>
                <w:tab w:val="left" w:pos="567"/>
                <w:tab w:val="left" w:pos="1134"/>
              </w:tabs>
              <w:spacing w:after="0"/>
              <w:jc w:val="left"/>
              <w:rPr>
                <w:rFonts w:cs="Arial"/>
              </w:rPr>
            </w:pPr>
            <w:r w:rsidRPr="00882976">
              <w:rPr>
                <w:rFonts w:cs="Arial"/>
              </w:rPr>
              <w:t>Incremental Pressure</w:t>
            </w:r>
          </w:p>
        </w:tc>
        <w:tc>
          <w:tcPr>
            <w:tcW w:w="0" w:type="auto"/>
            <w:vAlign w:val="center"/>
          </w:tcPr>
          <w:p w14:paraId="1584CBF9" w14:textId="21E84C1D" w:rsidR="006A0088" w:rsidRPr="00882976" w:rsidRDefault="00060C9A" w:rsidP="005B6A8A">
            <w:pPr>
              <w:tabs>
                <w:tab w:val="left" w:pos="567"/>
                <w:tab w:val="left" w:pos="1134"/>
              </w:tabs>
              <w:spacing w:after="0"/>
              <w:jc w:val="center"/>
              <w:rPr>
                <w:rFonts w:cs="Arial"/>
              </w:rPr>
            </w:pPr>
            <w:r w:rsidRPr="00882976">
              <w:rPr>
                <w:rFonts w:cs="Arial"/>
              </w:rPr>
              <w:t>2.525</w:t>
            </w:r>
          </w:p>
        </w:tc>
        <w:tc>
          <w:tcPr>
            <w:tcW w:w="0" w:type="auto"/>
            <w:vAlign w:val="center"/>
          </w:tcPr>
          <w:p w14:paraId="2291BFF0" w14:textId="67BCBEDD" w:rsidR="006A0088" w:rsidRPr="00882976" w:rsidRDefault="00060C9A" w:rsidP="005B6A8A">
            <w:pPr>
              <w:tabs>
                <w:tab w:val="left" w:pos="567"/>
                <w:tab w:val="left" w:pos="1134"/>
              </w:tabs>
              <w:spacing w:after="0"/>
              <w:jc w:val="center"/>
              <w:rPr>
                <w:rFonts w:cs="Arial"/>
              </w:rPr>
            </w:pPr>
            <w:r w:rsidRPr="00882976">
              <w:rPr>
                <w:rFonts w:cs="Arial"/>
              </w:rPr>
              <w:t>2.308</w:t>
            </w:r>
          </w:p>
        </w:tc>
        <w:tc>
          <w:tcPr>
            <w:tcW w:w="0" w:type="auto"/>
            <w:vAlign w:val="center"/>
          </w:tcPr>
          <w:p w14:paraId="4C7D21AB" w14:textId="4EF30551" w:rsidR="006A0088" w:rsidRPr="00882976" w:rsidRDefault="00060C9A" w:rsidP="00270A7A">
            <w:pPr>
              <w:tabs>
                <w:tab w:val="left" w:pos="567"/>
                <w:tab w:val="left" w:pos="1134"/>
              </w:tabs>
              <w:spacing w:after="0"/>
              <w:jc w:val="center"/>
              <w:rPr>
                <w:rFonts w:cs="Arial"/>
              </w:rPr>
            </w:pPr>
            <w:r w:rsidRPr="00882976">
              <w:rPr>
                <w:rFonts w:cs="Arial"/>
              </w:rPr>
              <w:t>1.828</w:t>
            </w:r>
          </w:p>
        </w:tc>
        <w:tc>
          <w:tcPr>
            <w:tcW w:w="0" w:type="auto"/>
            <w:vAlign w:val="center"/>
          </w:tcPr>
          <w:p w14:paraId="778181E6" w14:textId="5C1FD6E1" w:rsidR="006A0088" w:rsidRPr="00882976" w:rsidRDefault="00060C9A" w:rsidP="005B6A8A">
            <w:pPr>
              <w:tabs>
                <w:tab w:val="left" w:pos="567"/>
                <w:tab w:val="left" w:pos="1134"/>
              </w:tabs>
              <w:spacing w:after="0"/>
              <w:jc w:val="center"/>
              <w:rPr>
                <w:rFonts w:cs="Arial"/>
              </w:rPr>
            </w:pPr>
            <w:r w:rsidRPr="00882976">
              <w:rPr>
                <w:rFonts w:cs="Arial"/>
              </w:rPr>
              <w:t>1.443</w:t>
            </w:r>
          </w:p>
        </w:tc>
        <w:tc>
          <w:tcPr>
            <w:tcW w:w="1095" w:type="dxa"/>
            <w:vAlign w:val="center"/>
          </w:tcPr>
          <w:p w14:paraId="3E613A28" w14:textId="4C836981" w:rsidR="006A0088" w:rsidRPr="00882976" w:rsidRDefault="00060C9A" w:rsidP="005B6A8A">
            <w:pPr>
              <w:tabs>
                <w:tab w:val="left" w:pos="567"/>
                <w:tab w:val="left" w:pos="1134"/>
              </w:tabs>
              <w:spacing w:after="0"/>
              <w:jc w:val="center"/>
              <w:rPr>
                <w:rFonts w:cs="Arial"/>
                <w:b/>
              </w:rPr>
            </w:pPr>
            <w:r w:rsidRPr="00882976">
              <w:rPr>
                <w:rFonts w:cs="Arial"/>
                <w:b/>
              </w:rPr>
              <w:t>8.104</w:t>
            </w:r>
          </w:p>
        </w:tc>
      </w:tr>
      <w:tr w:rsidR="00727C82" w:rsidRPr="00882976" w14:paraId="157516B7" w14:textId="77777777" w:rsidTr="005C03EB">
        <w:trPr>
          <w:trHeight w:val="593"/>
          <w:jc w:val="center"/>
        </w:trPr>
        <w:tc>
          <w:tcPr>
            <w:tcW w:w="2796" w:type="dxa"/>
            <w:vAlign w:val="center"/>
          </w:tcPr>
          <w:p w14:paraId="14FB39B9" w14:textId="47F51C02" w:rsidR="00727C82" w:rsidRPr="00882976" w:rsidRDefault="00727C82" w:rsidP="005B6A8A">
            <w:pPr>
              <w:tabs>
                <w:tab w:val="left" w:pos="567"/>
                <w:tab w:val="left" w:pos="1134"/>
              </w:tabs>
              <w:spacing w:after="0"/>
              <w:jc w:val="left"/>
              <w:rPr>
                <w:rFonts w:cs="Arial"/>
              </w:rPr>
            </w:pPr>
            <w:r w:rsidRPr="00882976">
              <w:rPr>
                <w:rFonts w:cs="Arial"/>
              </w:rPr>
              <w:t>Pensions Costs</w:t>
            </w:r>
          </w:p>
        </w:tc>
        <w:tc>
          <w:tcPr>
            <w:tcW w:w="0" w:type="auto"/>
            <w:vAlign w:val="center"/>
          </w:tcPr>
          <w:p w14:paraId="04E219D2" w14:textId="687345B0" w:rsidR="00727C82" w:rsidRPr="00882976" w:rsidRDefault="00060C9A" w:rsidP="005B6A8A">
            <w:pPr>
              <w:tabs>
                <w:tab w:val="left" w:pos="567"/>
                <w:tab w:val="left" w:pos="1134"/>
              </w:tabs>
              <w:spacing w:after="0"/>
              <w:jc w:val="center"/>
              <w:rPr>
                <w:rFonts w:cs="Arial"/>
              </w:rPr>
            </w:pPr>
            <w:r w:rsidRPr="00882976">
              <w:rPr>
                <w:rFonts w:cs="Arial"/>
              </w:rPr>
              <w:t>1.390</w:t>
            </w:r>
          </w:p>
        </w:tc>
        <w:tc>
          <w:tcPr>
            <w:tcW w:w="0" w:type="auto"/>
            <w:vAlign w:val="center"/>
          </w:tcPr>
          <w:p w14:paraId="710535D3" w14:textId="18EB00B9" w:rsidR="00727C82" w:rsidRPr="00882976" w:rsidRDefault="00F4523A" w:rsidP="005B6A8A">
            <w:pPr>
              <w:tabs>
                <w:tab w:val="left" w:pos="567"/>
                <w:tab w:val="left" w:pos="1134"/>
              </w:tabs>
              <w:spacing w:after="0"/>
              <w:jc w:val="center"/>
              <w:rPr>
                <w:rFonts w:cs="Arial"/>
              </w:rPr>
            </w:pPr>
            <w:r w:rsidRPr="00882976">
              <w:rPr>
                <w:rFonts w:cs="Arial"/>
              </w:rPr>
              <w:t>0.610</w:t>
            </w:r>
          </w:p>
        </w:tc>
        <w:tc>
          <w:tcPr>
            <w:tcW w:w="0" w:type="auto"/>
            <w:vAlign w:val="center"/>
          </w:tcPr>
          <w:p w14:paraId="6FEEC3C1" w14:textId="67B66B7A" w:rsidR="00727C82" w:rsidRPr="00882976" w:rsidRDefault="00F4523A" w:rsidP="005B6A8A">
            <w:pPr>
              <w:tabs>
                <w:tab w:val="left" w:pos="567"/>
                <w:tab w:val="left" w:pos="1134"/>
              </w:tabs>
              <w:spacing w:after="0"/>
              <w:jc w:val="center"/>
              <w:rPr>
                <w:rFonts w:cs="Arial"/>
              </w:rPr>
            </w:pPr>
            <w:r w:rsidRPr="00882976">
              <w:rPr>
                <w:rFonts w:cs="Arial"/>
              </w:rPr>
              <w:t>0.673</w:t>
            </w:r>
          </w:p>
        </w:tc>
        <w:tc>
          <w:tcPr>
            <w:tcW w:w="0" w:type="auto"/>
            <w:vAlign w:val="center"/>
          </w:tcPr>
          <w:p w14:paraId="35D8B6BB" w14:textId="7E6FE832" w:rsidR="00727C82" w:rsidRPr="00882976" w:rsidRDefault="00060C9A" w:rsidP="00001DA0">
            <w:pPr>
              <w:tabs>
                <w:tab w:val="left" w:pos="567"/>
                <w:tab w:val="left" w:pos="1134"/>
              </w:tabs>
              <w:spacing w:after="0"/>
              <w:jc w:val="center"/>
              <w:rPr>
                <w:rFonts w:cs="Arial"/>
              </w:rPr>
            </w:pPr>
            <w:r w:rsidRPr="00882976">
              <w:rPr>
                <w:rFonts w:cs="Arial"/>
              </w:rPr>
              <w:t>0.000</w:t>
            </w:r>
          </w:p>
        </w:tc>
        <w:tc>
          <w:tcPr>
            <w:tcW w:w="1095" w:type="dxa"/>
            <w:vAlign w:val="center"/>
          </w:tcPr>
          <w:p w14:paraId="55E6E1E6" w14:textId="208C5310" w:rsidR="00727C82" w:rsidRPr="00882976" w:rsidRDefault="00F4523A" w:rsidP="00F4523A">
            <w:pPr>
              <w:tabs>
                <w:tab w:val="left" w:pos="567"/>
                <w:tab w:val="left" w:pos="1134"/>
              </w:tabs>
              <w:spacing w:after="0"/>
              <w:jc w:val="center"/>
              <w:rPr>
                <w:rFonts w:cs="Arial"/>
                <w:b/>
              </w:rPr>
            </w:pPr>
            <w:r w:rsidRPr="00882976">
              <w:rPr>
                <w:rFonts w:cs="Arial"/>
                <w:b/>
              </w:rPr>
              <w:t>2.673</w:t>
            </w:r>
          </w:p>
        </w:tc>
      </w:tr>
      <w:tr w:rsidR="006E401C" w:rsidRPr="00882976" w14:paraId="28A4B40C" w14:textId="77777777" w:rsidTr="005C03EB">
        <w:trPr>
          <w:trHeight w:val="593"/>
          <w:jc w:val="center"/>
        </w:trPr>
        <w:tc>
          <w:tcPr>
            <w:tcW w:w="2796" w:type="dxa"/>
            <w:vAlign w:val="center"/>
          </w:tcPr>
          <w:p w14:paraId="1A47A578" w14:textId="519BFE36" w:rsidR="006E401C" w:rsidRPr="00882976" w:rsidRDefault="006E401C" w:rsidP="005B6A8A">
            <w:pPr>
              <w:tabs>
                <w:tab w:val="left" w:pos="567"/>
                <w:tab w:val="left" w:pos="1134"/>
              </w:tabs>
              <w:spacing w:after="0"/>
              <w:jc w:val="left"/>
              <w:rPr>
                <w:rFonts w:cs="Arial"/>
              </w:rPr>
            </w:pPr>
            <w:r w:rsidRPr="00882976">
              <w:rPr>
                <w:rFonts w:cs="Arial"/>
              </w:rPr>
              <w:t>Apprentice Levy</w:t>
            </w:r>
          </w:p>
        </w:tc>
        <w:tc>
          <w:tcPr>
            <w:tcW w:w="0" w:type="auto"/>
            <w:vAlign w:val="center"/>
          </w:tcPr>
          <w:p w14:paraId="49A3B965" w14:textId="68742CE4" w:rsidR="006E401C" w:rsidRPr="00882976" w:rsidRDefault="006E401C" w:rsidP="005B6A8A">
            <w:pPr>
              <w:tabs>
                <w:tab w:val="left" w:pos="567"/>
                <w:tab w:val="left" w:pos="1134"/>
              </w:tabs>
              <w:spacing w:after="0"/>
              <w:jc w:val="center"/>
              <w:rPr>
                <w:rFonts w:cs="Arial"/>
              </w:rPr>
            </w:pPr>
            <w:r w:rsidRPr="00882976">
              <w:rPr>
                <w:rFonts w:cs="Arial"/>
              </w:rPr>
              <w:t>1.500</w:t>
            </w:r>
          </w:p>
        </w:tc>
        <w:tc>
          <w:tcPr>
            <w:tcW w:w="0" w:type="auto"/>
            <w:vAlign w:val="center"/>
          </w:tcPr>
          <w:p w14:paraId="290C3880" w14:textId="4BEB0769" w:rsidR="006E401C" w:rsidRPr="00882976" w:rsidRDefault="006E401C" w:rsidP="005B6A8A">
            <w:pPr>
              <w:tabs>
                <w:tab w:val="left" w:pos="567"/>
                <w:tab w:val="left" w:pos="1134"/>
              </w:tabs>
              <w:spacing w:after="0"/>
              <w:jc w:val="center"/>
              <w:rPr>
                <w:rFonts w:cs="Arial"/>
              </w:rPr>
            </w:pPr>
            <w:r w:rsidRPr="00882976">
              <w:rPr>
                <w:rFonts w:cs="Arial"/>
              </w:rPr>
              <w:t>0.000</w:t>
            </w:r>
          </w:p>
        </w:tc>
        <w:tc>
          <w:tcPr>
            <w:tcW w:w="0" w:type="auto"/>
            <w:vAlign w:val="center"/>
          </w:tcPr>
          <w:p w14:paraId="54E0540D" w14:textId="12882628" w:rsidR="006E401C" w:rsidRPr="00882976" w:rsidRDefault="006E401C" w:rsidP="005B6A8A">
            <w:pPr>
              <w:tabs>
                <w:tab w:val="left" w:pos="567"/>
                <w:tab w:val="left" w:pos="1134"/>
              </w:tabs>
              <w:spacing w:after="0"/>
              <w:jc w:val="center"/>
              <w:rPr>
                <w:rFonts w:cs="Arial"/>
              </w:rPr>
            </w:pPr>
            <w:r w:rsidRPr="00882976">
              <w:rPr>
                <w:rFonts w:cs="Arial"/>
              </w:rPr>
              <w:t>0.000</w:t>
            </w:r>
          </w:p>
        </w:tc>
        <w:tc>
          <w:tcPr>
            <w:tcW w:w="0" w:type="auto"/>
            <w:vAlign w:val="center"/>
          </w:tcPr>
          <w:p w14:paraId="3D05507D" w14:textId="0C2C8C4C" w:rsidR="006E401C" w:rsidRPr="00882976" w:rsidRDefault="006E401C" w:rsidP="00001DA0">
            <w:pPr>
              <w:tabs>
                <w:tab w:val="left" w:pos="567"/>
                <w:tab w:val="left" w:pos="1134"/>
              </w:tabs>
              <w:spacing w:after="0"/>
              <w:jc w:val="center"/>
              <w:rPr>
                <w:rFonts w:cs="Arial"/>
              </w:rPr>
            </w:pPr>
            <w:r w:rsidRPr="00882976">
              <w:rPr>
                <w:rFonts w:cs="Arial"/>
              </w:rPr>
              <w:t>0.000</w:t>
            </w:r>
          </w:p>
        </w:tc>
        <w:tc>
          <w:tcPr>
            <w:tcW w:w="1095" w:type="dxa"/>
            <w:vAlign w:val="center"/>
          </w:tcPr>
          <w:p w14:paraId="0FED961E" w14:textId="240F0931" w:rsidR="006E401C" w:rsidRPr="00882976" w:rsidRDefault="006E401C" w:rsidP="005B6A8A">
            <w:pPr>
              <w:tabs>
                <w:tab w:val="left" w:pos="567"/>
                <w:tab w:val="left" w:pos="1134"/>
              </w:tabs>
              <w:spacing w:after="0"/>
              <w:jc w:val="center"/>
              <w:rPr>
                <w:rFonts w:cs="Arial"/>
                <w:b/>
              </w:rPr>
            </w:pPr>
            <w:r w:rsidRPr="00882976">
              <w:rPr>
                <w:rFonts w:cs="Arial"/>
                <w:b/>
              </w:rPr>
              <w:t>1.500</w:t>
            </w:r>
          </w:p>
        </w:tc>
      </w:tr>
      <w:tr w:rsidR="00001DA0" w:rsidRPr="00882976" w14:paraId="1E1ADE3E" w14:textId="77777777" w:rsidTr="005C03EB">
        <w:trPr>
          <w:trHeight w:val="593"/>
          <w:jc w:val="center"/>
        </w:trPr>
        <w:tc>
          <w:tcPr>
            <w:tcW w:w="2796" w:type="dxa"/>
            <w:vAlign w:val="center"/>
          </w:tcPr>
          <w:p w14:paraId="16CDEF51" w14:textId="07CCA893" w:rsidR="00001DA0" w:rsidRPr="00882976" w:rsidRDefault="00001DA0" w:rsidP="005B6A8A">
            <w:pPr>
              <w:tabs>
                <w:tab w:val="left" w:pos="567"/>
                <w:tab w:val="left" w:pos="1134"/>
              </w:tabs>
              <w:spacing w:after="0"/>
              <w:jc w:val="left"/>
              <w:rPr>
                <w:rFonts w:cs="Arial"/>
                <w:b/>
              </w:rPr>
            </w:pPr>
            <w:r w:rsidRPr="00882976">
              <w:rPr>
                <w:rFonts w:cs="Arial"/>
                <w:b/>
              </w:rPr>
              <w:t>Revised Pay Budget Requirement</w:t>
            </w:r>
          </w:p>
        </w:tc>
        <w:tc>
          <w:tcPr>
            <w:tcW w:w="0" w:type="auto"/>
            <w:vAlign w:val="center"/>
          </w:tcPr>
          <w:p w14:paraId="7562A674" w14:textId="63BD4857" w:rsidR="00001DA0" w:rsidRPr="00882976" w:rsidRDefault="009E3967" w:rsidP="005B6A8A">
            <w:pPr>
              <w:tabs>
                <w:tab w:val="left" w:pos="567"/>
                <w:tab w:val="left" w:pos="1134"/>
              </w:tabs>
              <w:spacing w:after="0"/>
              <w:jc w:val="center"/>
              <w:rPr>
                <w:rFonts w:cs="Arial"/>
                <w:b/>
              </w:rPr>
            </w:pPr>
            <w:r w:rsidRPr="00882976">
              <w:rPr>
                <w:rFonts w:cs="Arial"/>
                <w:b/>
              </w:rPr>
              <w:t>9.837</w:t>
            </w:r>
          </w:p>
        </w:tc>
        <w:tc>
          <w:tcPr>
            <w:tcW w:w="0" w:type="auto"/>
            <w:vAlign w:val="center"/>
          </w:tcPr>
          <w:p w14:paraId="64989A89" w14:textId="13EB2456" w:rsidR="00001DA0" w:rsidRPr="00882976" w:rsidRDefault="009E3967" w:rsidP="005B6A8A">
            <w:pPr>
              <w:tabs>
                <w:tab w:val="left" w:pos="567"/>
                <w:tab w:val="left" w:pos="1134"/>
              </w:tabs>
              <w:spacing w:after="0"/>
              <w:jc w:val="center"/>
              <w:rPr>
                <w:rFonts w:cs="Arial"/>
                <w:b/>
              </w:rPr>
            </w:pPr>
            <w:r w:rsidRPr="00882976">
              <w:rPr>
                <w:rFonts w:cs="Arial"/>
                <w:b/>
              </w:rPr>
              <w:t>5.851</w:t>
            </w:r>
          </w:p>
        </w:tc>
        <w:tc>
          <w:tcPr>
            <w:tcW w:w="0" w:type="auto"/>
            <w:vAlign w:val="center"/>
          </w:tcPr>
          <w:p w14:paraId="4D6D7746" w14:textId="4535184E" w:rsidR="00001DA0" w:rsidRPr="00882976" w:rsidRDefault="008E6C28" w:rsidP="005B6A8A">
            <w:pPr>
              <w:tabs>
                <w:tab w:val="left" w:pos="567"/>
                <w:tab w:val="left" w:pos="1134"/>
              </w:tabs>
              <w:spacing w:after="0"/>
              <w:jc w:val="center"/>
              <w:rPr>
                <w:rFonts w:cs="Arial"/>
                <w:b/>
              </w:rPr>
            </w:pPr>
            <w:r w:rsidRPr="00882976">
              <w:rPr>
                <w:rFonts w:cs="Arial"/>
                <w:b/>
              </w:rPr>
              <w:t>6.018</w:t>
            </w:r>
          </w:p>
        </w:tc>
        <w:tc>
          <w:tcPr>
            <w:tcW w:w="0" w:type="auto"/>
            <w:vAlign w:val="center"/>
          </w:tcPr>
          <w:p w14:paraId="7B859BC8" w14:textId="58A6299E" w:rsidR="00001DA0" w:rsidRPr="00882976" w:rsidRDefault="009E3967" w:rsidP="00001DA0">
            <w:pPr>
              <w:tabs>
                <w:tab w:val="left" w:pos="567"/>
                <w:tab w:val="left" w:pos="1134"/>
              </w:tabs>
              <w:spacing w:after="0"/>
              <w:jc w:val="center"/>
              <w:rPr>
                <w:rFonts w:cs="Arial"/>
                <w:b/>
              </w:rPr>
            </w:pPr>
            <w:r w:rsidRPr="00882976">
              <w:rPr>
                <w:rFonts w:cs="Arial"/>
                <w:b/>
              </w:rPr>
              <w:t>5.672</w:t>
            </w:r>
          </w:p>
        </w:tc>
        <w:tc>
          <w:tcPr>
            <w:tcW w:w="1095" w:type="dxa"/>
            <w:vAlign w:val="center"/>
          </w:tcPr>
          <w:p w14:paraId="4FB64250" w14:textId="4461CC54" w:rsidR="00001DA0" w:rsidRPr="00882976" w:rsidRDefault="009E3967" w:rsidP="00F4523A">
            <w:pPr>
              <w:tabs>
                <w:tab w:val="left" w:pos="567"/>
                <w:tab w:val="left" w:pos="1134"/>
              </w:tabs>
              <w:spacing w:after="0"/>
              <w:jc w:val="center"/>
              <w:rPr>
                <w:rFonts w:cs="Arial"/>
                <w:b/>
              </w:rPr>
            </w:pPr>
            <w:r w:rsidRPr="00882976">
              <w:rPr>
                <w:rFonts w:cs="Arial"/>
                <w:b/>
              </w:rPr>
              <w:t>27.378</w:t>
            </w:r>
          </w:p>
        </w:tc>
      </w:tr>
      <w:tr w:rsidR="00001DA0" w:rsidRPr="00882976" w14:paraId="6BE0D001" w14:textId="77777777" w:rsidTr="005C03EB">
        <w:trPr>
          <w:trHeight w:val="593"/>
          <w:jc w:val="center"/>
        </w:trPr>
        <w:tc>
          <w:tcPr>
            <w:tcW w:w="2796" w:type="dxa"/>
            <w:vAlign w:val="center"/>
          </w:tcPr>
          <w:p w14:paraId="75007075" w14:textId="77777777" w:rsidR="00001DA0" w:rsidRPr="00882976" w:rsidRDefault="00001DA0" w:rsidP="005B6A8A">
            <w:pPr>
              <w:tabs>
                <w:tab w:val="left" w:pos="567"/>
                <w:tab w:val="left" w:pos="1134"/>
              </w:tabs>
              <w:spacing w:after="0"/>
              <w:jc w:val="left"/>
              <w:rPr>
                <w:rFonts w:cs="Arial"/>
              </w:rPr>
            </w:pPr>
          </w:p>
        </w:tc>
        <w:tc>
          <w:tcPr>
            <w:tcW w:w="0" w:type="auto"/>
            <w:vAlign w:val="center"/>
          </w:tcPr>
          <w:p w14:paraId="2CE7223B" w14:textId="77777777" w:rsidR="00001DA0" w:rsidRPr="00882976" w:rsidRDefault="00001DA0" w:rsidP="005B6A8A">
            <w:pPr>
              <w:tabs>
                <w:tab w:val="left" w:pos="567"/>
                <w:tab w:val="left" w:pos="1134"/>
              </w:tabs>
              <w:spacing w:after="0"/>
              <w:jc w:val="center"/>
              <w:rPr>
                <w:rFonts w:cs="Arial"/>
              </w:rPr>
            </w:pPr>
          </w:p>
        </w:tc>
        <w:tc>
          <w:tcPr>
            <w:tcW w:w="0" w:type="auto"/>
            <w:vAlign w:val="center"/>
          </w:tcPr>
          <w:p w14:paraId="3A18F04D" w14:textId="77777777" w:rsidR="00001DA0" w:rsidRPr="00882976" w:rsidRDefault="00001DA0" w:rsidP="005B6A8A">
            <w:pPr>
              <w:tabs>
                <w:tab w:val="left" w:pos="567"/>
                <w:tab w:val="left" w:pos="1134"/>
              </w:tabs>
              <w:spacing w:after="0"/>
              <w:jc w:val="center"/>
              <w:rPr>
                <w:rFonts w:cs="Arial"/>
              </w:rPr>
            </w:pPr>
          </w:p>
        </w:tc>
        <w:tc>
          <w:tcPr>
            <w:tcW w:w="0" w:type="auto"/>
            <w:vAlign w:val="center"/>
          </w:tcPr>
          <w:p w14:paraId="69C77CA8" w14:textId="77777777" w:rsidR="00001DA0" w:rsidRPr="00882976" w:rsidRDefault="00001DA0" w:rsidP="005B6A8A">
            <w:pPr>
              <w:tabs>
                <w:tab w:val="left" w:pos="567"/>
                <w:tab w:val="left" w:pos="1134"/>
              </w:tabs>
              <w:spacing w:after="0"/>
              <w:jc w:val="center"/>
              <w:rPr>
                <w:rFonts w:cs="Arial"/>
              </w:rPr>
            </w:pPr>
          </w:p>
        </w:tc>
        <w:tc>
          <w:tcPr>
            <w:tcW w:w="0" w:type="auto"/>
            <w:vAlign w:val="center"/>
          </w:tcPr>
          <w:p w14:paraId="25062C33" w14:textId="77777777" w:rsidR="00001DA0" w:rsidRPr="00882976" w:rsidRDefault="00001DA0" w:rsidP="005B6A8A">
            <w:pPr>
              <w:tabs>
                <w:tab w:val="left" w:pos="567"/>
                <w:tab w:val="left" w:pos="1134"/>
              </w:tabs>
              <w:spacing w:after="0"/>
              <w:jc w:val="center"/>
              <w:rPr>
                <w:rFonts w:cs="Arial"/>
              </w:rPr>
            </w:pPr>
          </w:p>
        </w:tc>
        <w:tc>
          <w:tcPr>
            <w:tcW w:w="1095" w:type="dxa"/>
            <w:vAlign w:val="center"/>
          </w:tcPr>
          <w:p w14:paraId="78DA5AF8" w14:textId="77777777" w:rsidR="00001DA0" w:rsidRPr="00882976" w:rsidRDefault="00001DA0" w:rsidP="005B6A8A">
            <w:pPr>
              <w:tabs>
                <w:tab w:val="left" w:pos="567"/>
                <w:tab w:val="left" w:pos="1134"/>
              </w:tabs>
              <w:spacing w:after="0"/>
              <w:jc w:val="center"/>
              <w:rPr>
                <w:rFonts w:cs="Arial"/>
                <w:b/>
              </w:rPr>
            </w:pPr>
          </w:p>
        </w:tc>
      </w:tr>
      <w:tr w:rsidR="00001DA0" w:rsidRPr="00882976" w14:paraId="1EEDB569" w14:textId="77777777" w:rsidTr="005C03EB">
        <w:trPr>
          <w:trHeight w:val="593"/>
          <w:jc w:val="center"/>
        </w:trPr>
        <w:tc>
          <w:tcPr>
            <w:tcW w:w="2796" w:type="dxa"/>
            <w:vAlign w:val="center"/>
          </w:tcPr>
          <w:p w14:paraId="6DED3A88" w14:textId="169DBA4D" w:rsidR="00001DA0" w:rsidRPr="00882976" w:rsidRDefault="00001DA0" w:rsidP="005B6A8A">
            <w:pPr>
              <w:tabs>
                <w:tab w:val="left" w:pos="567"/>
                <w:tab w:val="left" w:pos="1134"/>
              </w:tabs>
              <w:spacing w:after="0"/>
              <w:jc w:val="left"/>
              <w:rPr>
                <w:rFonts w:cs="Arial"/>
                <w:b/>
              </w:rPr>
            </w:pPr>
            <w:r w:rsidRPr="00882976">
              <w:rPr>
                <w:rFonts w:cs="Arial"/>
                <w:b/>
              </w:rPr>
              <w:t>Impact on Financial Gap</w:t>
            </w:r>
          </w:p>
        </w:tc>
        <w:tc>
          <w:tcPr>
            <w:tcW w:w="0" w:type="auto"/>
            <w:vAlign w:val="center"/>
          </w:tcPr>
          <w:p w14:paraId="40EB6F1D" w14:textId="516BDB98" w:rsidR="00001DA0" w:rsidRPr="00882976" w:rsidRDefault="009E3967" w:rsidP="005B6A8A">
            <w:pPr>
              <w:tabs>
                <w:tab w:val="left" w:pos="567"/>
                <w:tab w:val="left" w:pos="1134"/>
              </w:tabs>
              <w:spacing w:after="0"/>
              <w:jc w:val="center"/>
              <w:rPr>
                <w:rFonts w:cs="Arial"/>
                <w:b/>
              </w:rPr>
            </w:pPr>
            <w:r w:rsidRPr="00882976">
              <w:rPr>
                <w:rFonts w:cs="Arial"/>
                <w:b/>
              </w:rPr>
              <w:t>-0.054</w:t>
            </w:r>
          </w:p>
        </w:tc>
        <w:tc>
          <w:tcPr>
            <w:tcW w:w="0" w:type="auto"/>
            <w:vAlign w:val="center"/>
          </w:tcPr>
          <w:p w14:paraId="2312812E" w14:textId="345B8016" w:rsidR="00001DA0" w:rsidRPr="00882976" w:rsidRDefault="009E3967" w:rsidP="005B6A8A">
            <w:pPr>
              <w:tabs>
                <w:tab w:val="left" w:pos="567"/>
                <w:tab w:val="left" w:pos="1134"/>
              </w:tabs>
              <w:spacing w:after="0"/>
              <w:jc w:val="center"/>
              <w:rPr>
                <w:rFonts w:cs="Arial"/>
                <w:b/>
              </w:rPr>
            </w:pPr>
            <w:r w:rsidRPr="00882976">
              <w:rPr>
                <w:rFonts w:cs="Arial"/>
                <w:b/>
              </w:rPr>
              <w:t>0.721</w:t>
            </w:r>
          </w:p>
        </w:tc>
        <w:tc>
          <w:tcPr>
            <w:tcW w:w="0" w:type="auto"/>
            <w:vAlign w:val="center"/>
          </w:tcPr>
          <w:p w14:paraId="17F28CCB" w14:textId="5FA6B92D" w:rsidR="00001DA0" w:rsidRPr="00882976" w:rsidRDefault="008E6C28" w:rsidP="005B6A8A">
            <w:pPr>
              <w:tabs>
                <w:tab w:val="left" w:pos="567"/>
                <w:tab w:val="left" w:pos="1134"/>
              </w:tabs>
              <w:spacing w:after="0"/>
              <w:jc w:val="center"/>
              <w:rPr>
                <w:rFonts w:cs="Arial"/>
                <w:b/>
              </w:rPr>
            </w:pPr>
            <w:r w:rsidRPr="00882976">
              <w:rPr>
                <w:rFonts w:cs="Arial"/>
                <w:b/>
              </w:rPr>
              <w:t>0.886</w:t>
            </w:r>
          </w:p>
        </w:tc>
        <w:tc>
          <w:tcPr>
            <w:tcW w:w="0" w:type="auto"/>
            <w:vAlign w:val="center"/>
          </w:tcPr>
          <w:p w14:paraId="4F0FFB5F" w14:textId="7F9D6583" w:rsidR="00001DA0" w:rsidRPr="00882976" w:rsidRDefault="009E3967" w:rsidP="005B6A8A">
            <w:pPr>
              <w:tabs>
                <w:tab w:val="left" w:pos="567"/>
                <w:tab w:val="left" w:pos="1134"/>
              </w:tabs>
              <w:spacing w:after="0"/>
              <w:jc w:val="center"/>
              <w:rPr>
                <w:rFonts w:cs="Arial"/>
                <w:b/>
              </w:rPr>
            </w:pPr>
            <w:r w:rsidRPr="00882976">
              <w:rPr>
                <w:rFonts w:cs="Arial"/>
                <w:b/>
              </w:rPr>
              <w:t>-0.017</w:t>
            </w:r>
          </w:p>
        </w:tc>
        <w:tc>
          <w:tcPr>
            <w:tcW w:w="1095" w:type="dxa"/>
            <w:vAlign w:val="center"/>
          </w:tcPr>
          <w:p w14:paraId="332B4B1F" w14:textId="0E7B8E39" w:rsidR="00001DA0" w:rsidRPr="00882976" w:rsidRDefault="009E3967" w:rsidP="005B6A8A">
            <w:pPr>
              <w:tabs>
                <w:tab w:val="left" w:pos="567"/>
                <w:tab w:val="left" w:pos="1134"/>
              </w:tabs>
              <w:spacing w:after="0"/>
              <w:jc w:val="center"/>
              <w:rPr>
                <w:rFonts w:cs="Arial"/>
                <w:b/>
              </w:rPr>
            </w:pPr>
            <w:r w:rsidRPr="00882976">
              <w:rPr>
                <w:rFonts w:cs="Arial"/>
                <w:b/>
              </w:rPr>
              <w:t>1.536</w:t>
            </w:r>
          </w:p>
        </w:tc>
      </w:tr>
    </w:tbl>
    <w:p w14:paraId="225B445A" w14:textId="77777777" w:rsidR="005F3006" w:rsidRPr="00882976" w:rsidRDefault="005F3006" w:rsidP="008D5D96">
      <w:pPr>
        <w:spacing w:after="0"/>
        <w:rPr>
          <w:rFonts w:cs="Arial"/>
          <w:b/>
        </w:rPr>
      </w:pPr>
    </w:p>
    <w:p w14:paraId="509AA268" w14:textId="77777777" w:rsidR="00C37DF8" w:rsidRPr="00882976" w:rsidRDefault="00C37DF8" w:rsidP="008D5D96">
      <w:pPr>
        <w:spacing w:after="0"/>
        <w:rPr>
          <w:rFonts w:cs="Arial"/>
          <w:b/>
        </w:rPr>
      </w:pPr>
    </w:p>
    <w:p w14:paraId="57554CB1" w14:textId="77777777" w:rsidR="00C37DF8" w:rsidRPr="00882976" w:rsidRDefault="00C37DF8" w:rsidP="008D5D96">
      <w:pPr>
        <w:spacing w:after="0"/>
        <w:rPr>
          <w:rFonts w:cs="Arial"/>
          <w:b/>
        </w:rPr>
      </w:pPr>
    </w:p>
    <w:p w14:paraId="6EB9DEF5" w14:textId="27B52044" w:rsidR="002A09EE" w:rsidRPr="00882976" w:rsidRDefault="002A09EE" w:rsidP="008D5D96">
      <w:pPr>
        <w:spacing w:after="0"/>
        <w:rPr>
          <w:rFonts w:cs="Arial"/>
          <w:b/>
        </w:rPr>
      </w:pPr>
      <w:r w:rsidRPr="00882976">
        <w:rPr>
          <w:rFonts w:cs="Arial"/>
          <w:b/>
        </w:rPr>
        <w:t>3.2 Price Inflation</w:t>
      </w:r>
      <w:r w:rsidR="00F10592" w:rsidRPr="00882976">
        <w:rPr>
          <w:rFonts w:cs="Arial"/>
          <w:b/>
        </w:rPr>
        <w:t xml:space="preserve"> and Cost Changes</w:t>
      </w:r>
    </w:p>
    <w:p w14:paraId="6BAB5D94" w14:textId="77777777" w:rsidR="002A09EE" w:rsidRPr="00882976" w:rsidRDefault="002A09EE" w:rsidP="008D5D96">
      <w:pPr>
        <w:spacing w:after="0"/>
        <w:rPr>
          <w:rFonts w:cs="Arial"/>
          <w:b/>
        </w:rPr>
      </w:pPr>
    </w:p>
    <w:p w14:paraId="2831EB48" w14:textId="4B8B1C9C" w:rsidR="002A09EE" w:rsidRPr="00882976" w:rsidRDefault="004866FB" w:rsidP="002A09EE">
      <w:pPr>
        <w:spacing w:after="0"/>
        <w:rPr>
          <w:rFonts w:cs="Arial"/>
        </w:rPr>
      </w:pPr>
      <w:r w:rsidRPr="00882976">
        <w:rPr>
          <w:rFonts w:cs="Arial"/>
        </w:rPr>
        <w:t>C</w:t>
      </w:r>
      <w:r w:rsidR="002A09EE" w:rsidRPr="00882976">
        <w:rPr>
          <w:rFonts w:cs="Arial"/>
        </w:rPr>
        <w:t>ontractual price increases represent a significant cost pressure</w:t>
      </w:r>
      <w:r w:rsidR="00E27D2F" w:rsidRPr="00882976">
        <w:rPr>
          <w:rFonts w:cs="Arial"/>
        </w:rPr>
        <w:t xml:space="preserve"> to the County Council. </w:t>
      </w:r>
      <w:r w:rsidRPr="00882976">
        <w:rPr>
          <w:rFonts w:cs="Arial"/>
        </w:rPr>
        <w:t>T</w:t>
      </w:r>
      <w:r w:rsidR="002A09EE" w:rsidRPr="00882976">
        <w:rPr>
          <w:rFonts w:cs="Arial"/>
        </w:rPr>
        <w:t xml:space="preserve">he assumptions have been </w:t>
      </w:r>
      <w:r w:rsidRPr="00882976">
        <w:rPr>
          <w:rFonts w:cs="Arial"/>
        </w:rPr>
        <w:t xml:space="preserve">subject to regular review </w:t>
      </w:r>
      <w:r w:rsidR="002A09EE" w:rsidRPr="00882976">
        <w:rPr>
          <w:rFonts w:cs="Arial"/>
        </w:rPr>
        <w:t xml:space="preserve">by services </w:t>
      </w:r>
      <w:r w:rsidR="00145DBC" w:rsidRPr="00882976">
        <w:rPr>
          <w:rFonts w:cs="Arial"/>
        </w:rPr>
        <w:t>with an increase of £</w:t>
      </w:r>
      <w:r w:rsidR="00BB5620" w:rsidRPr="00882976">
        <w:rPr>
          <w:rFonts w:cs="Arial"/>
        </w:rPr>
        <w:t>5.212</w:t>
      </w:r>
      <w:r w:rsidR="002A09EE" w:rsidRPr="00882976">
        <w:rPr>
          <w:rFonts w:cs="Arial"/>
        </w:rPr>
        <w:t>m</w:t>
      </w:r>
      <w:r w:rsidRPr="00882976">
        <w:rPr>
          <w:rFonts w:cs="Arial"/>
        </w:rPr>
        <w:t xml:space="preserve"> </w:t>
      </w:r>
      <w:r w:rsidR="00E27D2F" w:rsidRPr="00882976">
        <w:rPr>
          <w:rFonts w:cs="Arial"/>
        </w:rPr>
        <w:t>identified over the 4 year period</w:t>
      </w:r>
      <w:r w:rsidRPr="00882976">
        <w:rPr>
          <w:rFonts w:cs="Arial"/>
        </w:rPr>
        <w:t xml:space="preserve">. </w:t>
      </w:r>
      <w:r w:rsidR="00935FA0" w:rsidRPr="00882976">
        <w:rPr>
          <w:rFonts w:cs="Arial"/>
        </w:rPr>
        <w:t xml:space="preserve"> </w:t>
      </w:r>
    </w:p>
    <w:p w14:paraId="01DBCA91" w14:textId="77777777" w:rsidR="000A747F" w:rsidRPr="00882976" w:rsidRDefault="000A747F" w:rsidP="002A09EE">
      <w:pPr>
        <w:spacing w:after="0"/>
        <w:rPr>
          <w:rFonts w:cs="Arial"/>
          <w:highlight w:val="yellow"/>
        </w:rPr>
      </w:pPr>
    </w:p>
    <w:p w14:paraId="67F6D146" w14:textId="77777777" w:rsidR="002A09EE" w:rsidRPr="00882976" w:rsidRDefault="002A09EE" w:rsidP="002A09EE">
      <w:pPr>
        <w:tabs>
          <w:tab w:val="left" w:pos="567"/>
          <w:tab w:val="left" w:pos="1134"/>
        </w:tabs>
        <w:spacing w:after="0"/>
        <w:rPr>
          <w:rFonts w:cs="Arial"/>
          <w:highlight w:val="yellow"/>
        </w:rPr>
      </w:pPr>
    </w:p>
    <w:tbl>
      <w:tblPr>
        <w:tblStyle w:val="TableGrid"/>
        <w:tblW w:w="8197" w:type="dxa"/>
        <w:jc w:val="center"/>
        <w:tblLook w:val="04A0" w:firstRow="1" w:lastRow="0" w:firstColumn="1" w:lastColumn="0" w:noHBand="0" w:noVBand="1"/>
      </w:tblPr>
      <w:tblGrid>
        <w:gridCol w:w="2878"/>
        <w:gridCol w:w="1084"/>
        <w:gridCol w:w="1084"/>
        <w:gridCol w:w="1084"/>
        <w:gridCol w:w="1084"/>
        <w:gridCol w:w="983"/>
      </w:tblGrid>
      <w:tr w:rsidR="00E27D2F" w:rsidRPr="00882976" w14:paraId="2F03ACA7" w14:textId="77777777" w:rsidTr="00957B05">
        <w:trPr>
          <w:trHeight w:val="684"/>
          <w:jc w:val="center"/>
        </w:trPr>
        <w:tc>
          <w:tcPr>
            <w:tcW w:w="0" w:type="auto"/>
            <w:shd w:val="clear" w:color="auto" w:fill="BFBFBF" w:themeFill="background1" w:themeFillShade="BF"/>
          </w:tcPr>
          <w:p w14:paraId="02C757E8" w14:textId="77777777" w:rsidR="00E27D2F" w:rsidRPr="00882976" w:rsidRDefault="00E27D2F" w:rsidP="005B6A8A">
            <w:pPr>
              <w:tabs>
                <w:tab w:val="left" w:pos="567"/>
                <w:tab w:val="left" w:pos="1134"/>
              </w:tabs>
              <w:spacing w:after="0"/>
              <w:rPr>
                <w:rFonts w:cs="Arial"/>
              </w:rPr>
            </w:pPr>
          </w:p>
        </w:tc>
        <w:tc>
          <w:tcPr>
            <w:tcW w:w="0" w:type="auto"/>
            <w:shd w:val="clear" w:color="auto" w:fill="BFBFBF" w:themeFill="background1" w:themeFillShade="BF"/>
            <w:vAlign w:val="center"/>
          </w:tcPr>
          <w:p w14:paraId="30D1A183" w14:textId="77777777" w:rsidR="00E27D2F" w:rsidRPr="00882976" w:rsidRDefault="00E27D2F" w:rsidP="005B6A8A">
            <w:pPr>
              <w:tabs>
                <w:tab w:val="left" w:pos="567"/>
                <w:tab w:val="left" w:pos="1134"/>
              </w:tabs>
              <w:spacing w:after="0"/>
              <w:jc w:val="center"/>
              <w:rPr>
                <w:rFonts w:cs="Arial"/>
                <w:b/>
              </w:rPr>
            </w:pPr>
            <w:r w:rsidRPr="00882976">
              <w:rPr>
                <w:rFonts w:cs="Arial"/>
                <w:b/>
              </w:rPr>
              <w:t>2017/18</w:t>
            </w:r>
          </w:p>
          <w:p w14:paraId="752DDF40" w14:textId="77777777" w:rsidR="00E27D2F" w:rsidRPr="00882976" w:rsidRDefault="00E27D2F" w:rsidP="005B6A8A">
            <w:pPr>
              <w:tabs>
                <w:tab w:val="left" w:pos="567"/>
                <w:tab w:val="left" w:pos="1134"/>
              </w:tabs>
              <w:spacing w:after="0"/>
              <w:jc w:val="center"/>
              <w:rPr>
                <w:rFonts w:cs="Arial"/>
                <w:b/>
              </w:rPr>
            </w:pPr>
            <w:r w:rsidRPr="00882976">
              <w:rPr>
                <w:rFonts w:cs="Arial"/>
                <w:b/>
              </w:rPr>
              <w:t>£m</w:t>
            </w:r>
          </w:p>
        </w:tc>
        <w:tc>
          <w:tcPr>
            <w:tcW w:w="0" w:type="auto"/>
            <w:shd w:val="clear" w:color="auto" w:fill="BFBFBF" w:themeFill="background1" w:themeFillShade="BF"/>
            <w:vAlign w:val="center"/>
          </w:tcPr>
          <w:p w14:paraId="7BDA9115" w14:textId="77777777" w:rsidR="00E27D2F" w:rsidRPr="00882976" w:rsidRDefault="00E27D2F" w:rsidP="005B6A8A">
            <w:pPr>
              <w:tabs>
                <w:tab w:val="left" w:pos="567"/>
                <w:tab w:val="left" w:pos="1134"/>
              </w:tabs>
              <w:spacing w:after="0"/>
              <w:jc w:val="center"/>
              <w:rPr>
                <w:rFonts w:cs="Arial"/>
                <w:b/>
              </w:rPr>
            </w:pPr>
            <w:r w:rsidRPr="00882976">
              <w:rPr>
                <w:rFonts w:cs="Arial"/>
                <w:b/>
              </w:rPr>
              <w:t>2018/19</w:t>
            </w:r>
          </w:p>
          <w:p w14:paraId="0AFCD622" w14:textId="77777777" w:rsidR="00E27D2F" w:rsidRPr="00882976" w:rsidRDefault="00E27D2F" w:rsidP="005B6A8A">
            <w:pPr>
              <w:tabs>
                <w:tab w:val="left" w:pos="567"/>
                <w:tab w:val="left" w:pos="1134"/>
              </w:tabs>
              <w:spacing w:after="0"/>
              <w:jc w:val="center"/>
              <w:rPr>
                <w:rFonts w:cs="Arial"/>
                <w:b/>
              </w:rPr>
            </w:pPr>
            <w:r w:rsidRPr="00882976">
              <w:rPr>
                <w:rFonts w:cs="Arial"/>
                <w:b/>
              </w:rPr>
              <w:t>£m</w:t>
            </w:r>
          </w:p>
        </w:tc>
        <w:tc>
          <w:tcPr>
            <w:tcW w:w="0" w:type="auto"/>
            <w:shd w:val="clear" w:color="auto" w:fill="BFBFBF" w:themeFill="background1" w:themeFillShade="BF"/>
            <w:vAlign w:val="center"/>
          </w:tcPr>
          <w:p w14:paraId="20AF8170" w14:textId="77777777" w:rsidR="00E27D2F" w:rsidRPr="00882976" w:rsidRDefault="00E27D2F" w:rsidP="005B6A8A">
            <w:pPr>
              <w:tabs>
                <w:tab w:val="left" w:pos="567"/>
                <w:tab w:val="left" w:pos="1134"/>
              </w:tabs>
              <w:spacing w:after="0"/>
              <w:jc w:val="center"/>
              <w:rPr>
                <w:rFonts w:cs="Arial"/>
                <w:b/>
              </w:rPr>
            </w:pPr>
            <w:r w:rsidRPr="00882976">
              <w:rPr>
                <w:rFonts w:cs="Arial"/>
                <w:b/>
              </w:rPr>
              <w:t>2019/20</w:t>
            </w:r>
          </w:p>
          <w:p w14:paraId="08056A2D" w14:textId="77777777" w:rsidR="00E27D2F" w:rsidRPr="00882976" w:rsidRDefault="00E27D2F" w:rsidP="005B6A8A">
            <w:pPr>
              <w:tabs>
                <w:tab w:val="left" w:pos="567"/>
                <w:tab w:val="left" w:pos="1134"/>
              </w:tabs>
              <w:spacing w:after="0"/>
              <w:jc w:val="center"/>
              <w:rPr>
                <w:rFonts w:cs="Arial"/>
                <w:b/>
              </w:rPr>
            </w:pPr>
            <w:r w:rsidRPr="00882976">
              <w:rPr>
                <w:rFonts w:cs="Arial"/>
                <w:b/>
              </w:rPr>
              <w:t>£m</w:t>
            </w:r>
          </w:p>
        </w:tc>
        <w:tc>
          <w:tcPr>
            <w:tcW w:w="0" w:type="auto"/>
            <w:shd w:val="clear" w:color="auto" w:fill="BFBFBF" w:themeFill="background1" w:themeFillShade="BF"/>
            <w:vAlign w:val="center"/>
          </w:tcPr>
          <w:p w14:paraId="52C6F492" w14:textId="77777777" w:rsidR="00E27D2F" w:rsidRPr="00882976" w:rsidRDefault="00E27D2F" w:rsidP="005B6A8A">
            <w:pPr>
              <w:tabs>
                <w:tab w:val="left" w:pos="567"/>
                <w:tab w:val="left" w:pos="1134"/>
              </w:tabs>
              <w:spacing w:after="0"/>
              <w:jc w:val="center"/>
              <w:rPr>
                <w:rFonts w:cs="Arial"/>
                <w:b/>
              </w:rPr>
            </w:pPr>
            <w:r w:rsidRPr="00882976">
              <w:rPr>
                <w:rFonts w:cs="Arial"/>
                <w:b/>
              </w:rPr>
              <w:t>2020/21</w:t>
            </w:r>
          </w:p>
          <w:p w14:paraId="35A17608" w14:textId="77777777" w:rsidR="00E27D2F" w:rsidRPr="00882976" w:rsidRDefault="00E27D2F" w:rsidP="005B6A8A">
            <w:pPr>
              <w:tabs>
                <w:tab w:val="left" w:pos="567"/>
                <w:tab w:val="left" w:pos="1134"/>
              </w:tabs>
              <w:spacing w:after="0"/>
              <w:jc w:val="center"/>
              <w:rPr>
                <w:rFonts w:cs="Arial"/>
                <w:b/>
              </w:rPr>
            </w:pPr>
            <w:r w:rsidRPr="00882976">
              <w:rPr>
                <w:rFonts w:cs="Arial"/>
                <w:b/>
              </w:rPr>
              <w:t>£m</w:t>
            </w:r>
          </w:p>
        </w:tc>
        <w:tc>
          <w:tcPr>
            <w:tcW w:w="983" w:type="dxa"/>
            <w:shd w:val="clear" w:color="auto" w:fill="BFBFBF" w:themeFill="background1" w:themeFillShade="BF"/>
            <w:vAlign w:val="center"/>
          </w:tcPr>
          <w:p w14:paraId="0E39E774" w14:textId="77777777" w:rsidR="00E27D2F" w:rsidRPr="00882976" w:rsidRDefault="00E27D2F" w:rsidP="005B6A8A">
            <w:pPr>
              <w:tabs>
                <w:tab w:val="left" w:pos="567"/>
                <w:tab w:val="left" w:pos="1134"/>
              </w:tabs>
              <w:spacing w:after="0"/>
              <w:jc w:val="center"/>
              <w:rPr>
                <w:rFonts w:cs="Arial"/>
                <w:b/>
              </w:rPr>
            </w:pPr>
            <w:r w:rsidRPr="00882976">
              <w:rPr>
                <w:rFonts w:cs="Arial"/>
                <w:b/>
              </w:rPr>
              <w:t>Total</w:t>
            </w:r>
          </w:p>
          <w:p w14:paraId="5E70F8BF" w14:textId="77777777" w:rsidR="00E27D2F" w:rsidRPr="00882976" w:rsidRDefault="00E27D2F" w:rsidP="005B6A8A">
            <w:pPr>
              <w:tabs>
                <w:tab w:val="left" w:pos="567"/>
                <w:tab w:val="left" w:pos="1134"/>
              </w:tabs>
              <w:spacing w:after="0"/>
              <w:jc w:val="center"/>
              <w:rPr>
                <w:rFonts w:cs="Arial"/>
                <w:b/>
              </w:rPr>
            </w:pPr>
            <w:r w:rsidRPr="00882976">
              <w:rPr>
                <w:rFonts w:cs="Arial"/>
                <w:b/>
              </w:rPr>
              <w:t>£m</w:t>
            </w:r>
          </w:p>
        </w:tc>
      </w:tr>
      <w:tr w:rsidR="00B63BF2" w:rsidRPr="00882976" w14:paraId="59CF73C7" w14:textId="77777777" w:rsidTr="00957B05">
        <w:trPr>
          <w:trHeight w:val="684"/>
          <w:jc w:val="center"/>
        </w:trPr>
        <w:tc>
          <w:tcPr>
            <w:tcW w:w="0" w:type="auto"/>
            <w:vAlign w:val="center"/>
          </w:tcPr>
          <w:p w14:paraId="3B034069" w14:textId="296B2C23" w:rsidR="00B63BF2" w:rsidRPr="00882976" w:rsidRDefault="00234950" w:rsidP="00B63BF2">
            <w:pPr>
              <w:tabs>
                <w:tab w:val="left" w:pos="567"/>
                <w:tab w:val="left" w:pos="1134"/>
              </w:tabs>
              <w:spacing w:after="0"/>
              <w:jc w:val="left"/>
              <w:rPr>
                <w:rFonts w:cs="Arial"/>
                <w:b/>
              </w:rPr>
            </w:pPr>
            <w:r w:rsidRPr="00882976">
              <w:rPr>
                <w:rFonts w:cs="Arial"/>
                <w:b/>
              </w:rPr>
              <w:t>P</w:t>
            </w:r>
            <w:r w:rsidR="00B63BF2" w:rsidRPr="00882976">
              <w:rPr>
                <w:rFonts w:cs="Arial"/>
                <w:b/>
              </w:rPr>
              <w:t>rice inflation</w:t>
            </w:r>
            <w:r w:rsidRPr="00882976">
              <w:rPr>
                <w:rFonts w:cs="Arial"/>
                <w:b/>
              </w:rPr>
              <w:t xml:space="preserve"> – previous MTFS</w:t>
            </w:r>
          </w:p>
        </w:tc>
        <w:tc>
          <w:tcPr>
            <w:tcW w:w="0" w:type="auto"/>
            <w:vAlign w:val="center"/>
          </w:tcPr>
          <w:p w14:paraId="2C9D0BF2" w14:textId="5668B740" w:rsidR="00B63BF2" w:rsidRPr="00882976" w:rsidRDefault="00B63BF2" w:rsidP="00B63BF2">
            <w:pPr>
              <w:tabs>
                <w:tab w:val="left" w:pos="567"/>
                <w:tab w:val="left" w:pos="1134"/>
              </w:tabs>
              <w:spacing w:after="0"/>
              <w:jc w:val="center"/>
              <w:rPr>
                <w:rFonts w:cs="Arial"/>
              </w:rPr>
            </w:pPr>
            <w:r w:rsidRPr="00882976">
              <w:rPr>
                <w:rFonts w:cs="Arial"/>
              </w:rPr>
              <w:t>20.037</w:t>
            </w:r>
          </w:p>
        </w:tc>
        <w:tc>
          <w:tcPr>
            <w:tcW w:w="0" w:type="auto"/>
            <w:vAlign w:val="center"/>
          </w:tcPr>
          <w:p w14:paraId="1FE01E1B" w14:textId="77613F40" w:rsidR="00B63BF2" w:rsidRPr="00882976" w:rsidRDefault="00B63BF2" w:rsidP="00B63BF2">
            <w:pPr>
              <w:tabs>
                <w:tab w:val="left" w:pos="567"/>
                <w:tab w:val="left" w:pos="1134"/>
              </w:tabs>
              <w:spacing w:after="0"/>
              <w:jc w:val="center"/>
              <w:rPr>
                <w:rFonts w:cs="Arial"/>
              </w:rPr>
            </w:pPr>
            <w:r w:rsidRPr="00882976">
              <w:rPr>
                <w:rFonts w:cs="Arial"/>
              </w:rPr>
              <w:t>13.652</w:t>
            </w:r>
          </w:p>
        </w:tc>
        <w:tc>
          <w:tcPr>
            <w:tcW w:w="0" w:type="auto"/>
            <w:vAlign w:val="center"/>
          </w:tcPr>
          <w:p w14:paraId="73EFA774" w14:textId="50D4B157" w:rsidR="00B63BF2" w:rsidRPr="00882976" w:rsidRDefault="00B63BF2" w:rsidP="00B63BF2">
            <w:pPr>
              <w:tabs>
                <w:tab w:val="left" w:pos="567"/>
                <w:tab w:val="left" w:pos="1134"/>
              </w:tabs>
              <w:spacing w:after="0"/>
              <w:jc w:val="center"/>
              <w:rPr>
                <w:rFonts w:cs="Arial"/>
              </w:rPr>
            </w:pPr>
            <w:r w:rsidRPr="00882976">
              <w:rPr>
                <w:rFonts w:cs="Arial"/>
              </w:rPr>
              <w:t>15.855</w:t>
            </w:r>
          </w:p>
        </w:tc>
        <w:tc>
          <w:tcPr>
            <w:tcW w:w="0" w:type="auto"/>
            <w:vAlign w:val="center"/>
          </w:tcPr>
          <w:p w14:paraId="4BF80F71" w14:textId="596765A0" w:rsidR="00B63BF2" w:rsidRPr="00882976" w:rsidRDefault="00B63BF2" w:rsidP="00B63BF2">
            <w:pPr>
              <w:tabs>
                <w:tab w:val="left" w:pos="567"/>
                <w:tab w:val="left" w:pos="1134"/>
              </w:tabs>
              <w:spacing w:after="0"/>
              <w:jc w:val="center"/>
              <w:rPr>
                <w:rFonts w:cs="Arial"/>
              </w:rPr>
            </w:pPr>
            <w:r w:rsidRPr="00882976">
              <w:rPr>
                <w:rFonts w:cs="Arial"/>
              </w:rPr>
              <w:t>18.481</w:t>
            </w:r>
          </w:p>
        </w:tc>
        <w:tc>
          <w:tcPr>
            <w:tcW w:w="983" w:type="dxa"/>
            <w:vAlign w:val="center"/>
          </w:tcPr>
          <w:p w14:paraId="06753719" w14:textId="546F8933" w:rsidR="00B63BF2" w:rsidRPr="00882976" w:rsidRDefault="00B63BF2" w:rsidP="00B63BF2">
            <w:pPr>
              <w:tabs>
                <w:tab w:val="left" w:pos="567"/>
                <w:tab w:val="left" w:pos="1134"/>
              </w:tabs>
              <w:spacing w:after="0"/>
              <w:jc w:val="center"/>
              <w:rPr>
                <w:rFonts w:cs="Arial"/>
                <w:b/>
              </w:rPr>
            </w:pPr>
            <w:r w:rsidRPr="00882976">
              <w:rPr>
                <w:rFonts w:cs="Arial"/>
                <w:b/>
              </w:rPr>
              <w:t>68.025</w:t>
            </w:r>
          </w:p>
        </w:tc>
      </w:tr>
      <w:tr w:rsidR="00E27D2F" w:rsidRPr="00882976" w14:paraId="7AA64320" w14:textId="77777777" w:rsidTr="00957B05">
        <w:trPr>
          <w:trHeight w:val="401"/>
          <w:jc w:val="center"/>
        </w:trPr>
        <w:tc>
          <w:tcPr>
            <w:tcW w:w="0" w:type="auto"/>
            <w:vAlign w:val="center"/>
          </w:tcPr>
          <w:p w14:paraId="1D381113" w14:textId="77777777" w:rsidR="00E27D2F" w:rsidRPr="00882976" w:rsidRDefault="00E27D2F" w:rsidP="005B6A8A">
            <w:pPr>
              <w:tabs>
                <w:tab w:val="left" w:pos="567"/>
                <w:tab w:val="left" w:pos="1134"/>
              </w:tabs>
              <w:spacing w:after="0"/>
              <w:jc w:val="left"/>
              <w:rPr>
                <w:rFonts w:cs="Arial"/>
              </w:rPr>
            </w:pPr>
          </w:p>
        </w:tc>
        <w:tc>
          <w:tcPr>
            <w:tcW w:w="0" w:type="auto"/>
            <w:vAlign w:val="center"/>
          </w:tcPr>
          <w:p w14:paraId="0AF3D6C1" w14:textId="77777777" w:rsidR="00E27D2F" w:rsidRPr="00882976" w:rsidRDefault="00E27D2F" w:rsidP="005B6A8A">
            <w:pPr>
              <w:tabs>
                <w:tab w:val="left" w:pos="567"/>
                <w:tab w:val="left" w:pos="1134"/>
              </w:tabs>
              <w:spacing w:after="0"/>
              <w:jc w:val="center"/>
              <w:rPr>
                <w:rFonts w:cs="Arial"/>
              </w:rPr>
            </w:pPr>
          </w:p>
        </w:tc>
        <w:tc>
          <w:tcPr>
            <w:tcW w:w="0" w:type="auto"/>
            <w:vAlign w:val="center"/>
          </w:tcPr>
          <w:p w14:paraId="47825D37" w14:textId="77777777" w:rsidR="00E27D2F" w:rsidRPr="00882976" w:rsidRDefault="00E27D2F" w:rsidP="005B6A8A">
            <w:pPr>
              <w:tabs>
                <w:tab w:val="left" w:pos="567"/>
                <w:tab w:val="left" w:pos="1134"/>
              </w:tabs>
              <w:spacing w:after="0"/>
              <w:jc w:val="center"/>
              <w:rPr>
                <w:rFonts w:cs="Arial"/>
              </w:rPr>
            </w:pPr>
          </w:p>
        </w:tc>
        <w:tc>
          <w:tcPr>
            <w:tcW w:w="0" w:type="auto"/>
            <w:vAlign w:val="center"/>
          </w:tcPr>
          <w:p w14:paraId="6F3EDC2C" w14:textId="77777777" w:rsidR="00E27D2F" w:rsidRPr="00882976" w:rsidRDefault="00E27D2F" w:rsidP="005B6A8A">
            <w:pPr>
              <w:tabs>
                <w:tab w:val="left" w:pos="567"/>
                <w:tab w:val="left" w:pos="1134"/>
              </w:tabs>
              <w:spacing w:after="0"/>
              <w:jc w:val="center"/>
              <w:rPr>
                <w:rFonts w:cs="Arial"/>
              </w:rPr>
            </w:pPr>
          </w:p>
        </w:tc>
        <w:tc>
          <w:tcPr>
            <w:tcW w:w="0" w:type="auto"/>
            <w:vAlign w:val="center"/>
          </w:tcPr>
          <w:p w14:paraId="599171FA" w14:textId="77777777" w:rsidR="00E27D2F" w:rsidRPr="00882976" w:rsidRDefault="00E27D2F" w:rsidP="005B6A8A">
            <w:pPr>
              <w:tabs>
                <w:tab w:val="left" w:pos="567"/>
                <w:tab w:val="left" w:pos="1134"/>
              </w:tabs>
              <w:spacing w:after="0"/>
              <w:jc w:val="center"/>
              <w:rPr>
                <w:rFonts w:cs="Arial"/>
              </w:rPr>
            </w:pPr>
          </w:p>
        </w:tc>
        <w:tc>
          <w:tcPr>
            <w:tcW w:w="983" w:type="dxa"/>
            <w:vAlign w:val="center"/>
          </w:tcPr>
          <w:p w14:paraId="3BCE7689" w14:textId="77777777" w:rsidR="00E27D2F" w:rsidRPr="00882976" w:rsidRDefault="00E27D2F" w:rsidP="005B6A8A">
            <w:pPr>
              <w:tabs>
                <w:tab w:val="left" w:pos="567"/>
                <w:tab w:val="left" w:pos="1134"/>
              </w:tabs>
              <w:spacing w:after="0"/>
              <w:jc w:val="center"/>
              <w:rPr>
                <w:rFonts w:cs="Arial"/>
                <w:b/>
              </w:rPr>
            </w:pPr>
          </w:p>
        </w:tc>
      </w:tr>
      <w:tr w:rsidR="00E27D2F" w:rsidRPr="00882976" w14:paraId="2A0B3E78" w14:textId="77777777" w:rsidTr="00957B05">
        <w:trPr>
          <w:trHeight w:val="684"/>
          <w:jc w:val="center"/>
        </w:trPr>
        <w:tc>
          <w:tcPr>
            <w:tcW w:w="0" w:type="auto"/>
            <w:vAlign w:val="center"/>
          </w:tcPr>
          <w:p w14:paraId="06996DE4" w14:textId="4EBA5F58" w:rsidR="00E27D2F" w:rsidRPr="00882976" w:rsidRDefault="00E27D2F" w:rsidP="00F10592">
            <w:pPr>
              <w:tabs>
                <w:tab w:val="left" w:pos="567"/>
                <w:tab w:val="left" w:pos="1134"/>
              </w:tabs>
              <w:spacing w:after="0"/>
              <w:jc w:val="left"/>
              <w:rPr>
                <w:rFonts w:cs="Arial"/>
              </w:rPr>
            </w:pPr>
            <w:r w:rsidRPr="00882976">
              <w:rPr>
                <w:rFonts w:cs="Arial"/>
              </w:rPr>
              <w:t xml:space="preserve">Revised </w:t>
            </w:r>
            <w:r w:rsidR="00F10592" w:rsidRPr="00882976">
              <w:rPr>
                <w:rFonts w:cs="Arial"/>
              </w:rPr>
              <w:t>p</w:t>
            </w:r>
            <w:r w:rsidRPr="00882976">
              <w:rPr>
                <w:rFonts w:cs="Arial"/>
              </w:rPr>
              <w:t xml:space="preserve">rice </w:t>
            </w:r>
            <w:r w:rsidR="00F10592" w:rsidRPr="00882976">
              <w:rPr>
                <w:rFonts w:cs="Arial"/>
              </w:rPr>
              <w:t>inflation r</w:t>
            </w:r>
            <w:r w:rsidRPr="00882976">
              <w:rPr>
                <w:rFonts w:cs="Arial"/>
              </w:rPr>
              <w:t>equirements</w:t>
            </w:r>
          </w:p>
        </w:tc>
        <w:tc>
          <w:tcPr>
            <w:tcW w:w="0" w:type="auto"/>
            <w:vAlign w:val="center"/>
          </w:tcPr>
          <w:p w14:paraId="376D1839" w14:textId="110DB33C" w:rsidR="00E27D2F" w:rsidRPr="00882976" w:rsidRDefault="00C37DF8" w:rsidP="005B6A8A">
            <w:pPr>
              <w:tabs>
                <w:tab w:val="left" w:pos="567"/>
                <w:tab w:val="left" w:pos="1134"/>
              </w:tabs>
              <w:spacing w:after="0"/>
              <w:jc w:val="center"/>
              <w:rPr>
                <w:rFonts w:cs="Arial"/>
              </w:rPr>
            </w:pPr>
            <w:r w:rsidRPr="00882976">
              <w:rPr>
                <w:rFonts w:cs="Arial"/>
              </w:rPr>
              <w:t>19.784</w:t>
            </w:r>
          </w:p>
        </w:tc>
        <w:tc>
          <w:tcPr>
            <w:tcW w:w="0" w:type="auto"/>
            <w:vAlign w:val="center"/>
          </w:tcPr>
          <w:p w14:paraId="6F471D11" w14:textId="38BCA061" w:rsidR="00E27D2F" w:rsidRPr="00882976" w:rsidRDefault="00C37DF8" w:rsidP="005B6A8A">
            <w:pPr>
              <w:tabs>
                <w:tab w:val="left" w:pos="567"/>
                <w:tab w:val="left" w:pos="1134"/>
              </w:tabs>
              <w:spacing w:after="0"/>
              <w:jc w:val="center"/>
              <w:rPr>
                <w:rFonts w:cs="Arial"/>
              </w:rPr>
            </w:pPr>
            <w:r w:rsidRPr="00882976">
              <w:rPr>
                <w:rFonts w:cs="Arial"/>
              </w:rPr>
              <w:t>14.288</w:t>
            </w:r>
          </w:p>
        </w:tc>
        <w:tc>
          <w:tcPr>
            <w:tcW w:w="0" w:type="auto"/>
            <w:vAlign w:val="center"/>
          </w:tcPr>
          <w:p w14:paraId="163317A1" w14:textId="2F7ECF83" w:rsidR="00E27D2F" w:rsidRPr="00882976" w:rsidRDefault="00C37DF8" w:rsidP="005B6A8A">
            <w:pPr>
              <w:tabs>
                <w:tab w:val="left" w:pos="567"/>
                <w:tab w:val="left" w:pos="1134"/>
              </w:tabs>
              <w:spacing w:after="0"/>
              <w:jc w:val="center"/>
              <w:rPr>
                <w:rFonts w:cs="Arial"/>
              </w:rPr>
            </w:pPr>
            <w:r w:rsidRPr="00882976">
              <w:rPr>
                <w:rFonts w:cs="Arial"/>
              </w:rPr>
              <w:t>16.552</w:t>
            </w:r>
          </w:p>
        </w:tc>
        <w:tc>
          <w:tcPr>
            <w:tcW w:w="0" w:type="auto"/>
            <w:vAlign w:val="center"/>
          </w:tcPr>
          <w:p w14:paraId="411E381B" w14:textId="21C08CF2" w:rsidR="00E27D2F" w:rsidRPr="00882976" w:rsidRDefault="00C37DF8" w:rsidP="005B6A8A">
            <w:pPr>
              <w:tabs>
                <w:tab w:val="left" w:pos="567"/>
                <w:tab w:val="left" w:pos="1134"/>
              </w:tabs>
              <w:spacing w:after="0"/>
              <w:jc w:val="center"/>
              <w:rPr>
                <w:rFonts w:cs="Arial"/>
              </w:rPr>
            </w:pPr>
            <w:r w:rsidRPr="00882976">
              <w:rPr>
                <w:rFonts w:cs="Arial"/>
              </w:rPr>
              <w:t>17.955</w:t>
            </w:r>
          </w:p>
        </w:tc>
        <w:tc>
          <w:tcPr>
            <w:tcW w:w="983" w:type="dxa"/>
            <w:vAlign w:val="center"/>
          </w:tcPr>
          <w:p w14:paraId="3F5B3BA0" w14:textId="60410526" w:rsidR="00E27D2F" w:rsidRPr="00882976" w:rsidRDefault="00C37DF8" w:rsidP="005B6A8A">
            <w:pPr>
              <w:tabs>
                <w:tab w:val="left" w:pos="567"/>
                <w:tab w:val="left" w:pos="1134"/>
              </w:tabs>
              <w:spacing w:after="0"/>
              <w:jc w:val="center"/>
              <w:rPr>
                <w:rFonts w:cs="Arial"/>
                <w:b/>
              </w:rPr>
            </w:pPr>
            <w:r w:rsidRPr="00882976">
              <w:rPr>
                <w:rFonts w:cs="Arial"/>
                <w:b/>
              </w:rPr>
              <w:t>68.579</w:t>
            </w:r>
          </w:p>
        </w:tc>
      </w:tr>
      <w:tr w:rsidR="00E27D2F" w:rsidRPr="00882976" w14:paraId="3DBBB60D" w14:textId="77777777" w:rsidTr="00957B05">
        <w:trPr>
          <w:trHeight w:val="431"/>
          <w:jc w:val="center"/>
        </w:trPr>
        <w:tc>
          <w:tcPr>
            <w:tcW w:w="0" w:type="auto"/>
            <w:vAlign w:val="center"/>
          </w:tcPr>
          <w:p w14:paraId="30EE4A0B" w14:textId="77777777" w:rsidR="00E27D2F" w:rsidRPr="00882976" w:rsidRDefault="00E27D2F" w:rsidP="005B6A8A">
            <w:pPr>
              <w:tabs>
                <w:tab w:val="left" w:pos="567"/>
                <w:tab w:val="left" w:pos="1134"/>
              </w:tabs>
              <w:spacing w:after="0"/>
              <w:jc w:val="left"/>
              <w:rPr>
                <w:rFonts w:cs="Arial"/>
              </w:rPr>
            </w:pPr>
          </w:p>
        </w:tc>
        <w:tc>
          <w:tcPr>
            <w:tcW w:w="0" w:type="auto"/>
            <w:vAlign w:val="center"/>
          </w:tcPr>
          <w:p w14:paraId="409B5EB0" w14:textId="77777777" w:rsidR="00E27D2F" w:rsidRPr="00882976" w:rsidRDefault="00E27D2F" w:rsidP="005B6A8A">
            <w:pPr>
              <w:tabs>
                <w:tab w:val="left" w:pos="567"/>
                <w:tab w:val="left" w:pos="1134"/>
              </w:tabs>
              <w:spacing w:after="0"/>
              <w:jc w:val="center"/>
              <w:rPr>
                <w:rFonts w:cs="Arial"/>
              </w:rPr>
            </w:pPr>
          </w:p>
        </w:tc>
        <w:tc>
          <w:tcPr>
            <w:tcW w:w="0" w:type="auto"/>
            <w:vAlign w:val="center"/>
          </w:tcPr>
          <w:p w14:paraId="238C65D9" w14:textId="77777777" w:rsidR="00E27D2F" w:rsidRPr="00882976" w:rsidRDefault="00E27D2F" w:rsidP="005B6A8A">
            <w:pPr>
              <w:tabs>
                <w:tab w:val="left" w:pos="567"/>
                <w:tab w:val="left" w:pos="1134"/>
              </w:tabs>
              <w:spacing w:after="0"/>
              <w:jc w:val="center"/>
              <w:rPr>
                <w:rFonts w:cs="Arial"/>
              </w:rPr>
            </w:pPr>
          </w:p>
        </w:tc>
        <w:tc>
          <w:tcPr>
            <w:tcW w:w="0" w:type="auto"/>
            <w:vAlign w:val="center"/>
          </w:tcPr>
          <w:p w14:paraId="5C2BFC7D" w14:textId="77777777" w:rsidR="00E27D2F" w:rsidRPr="00882976" w:rsidRDefault="00E27D2F" w:rsidP="005B6A8A">
            <w:pPr>
              <w:tabs>
                <w:tab w:val="left" w:pos="567"/>
                <w:tab w:val="left" w:pos="1134"/>
              </w:tabs>
              <w:spacing w:after="0"/>
              <w:jc w:val="center"/>
              <w:rPr>
                <w:rFonts w:cs="Arial"/>
              </w:rPr>
            </w:pPr>
          </w:p>
        </w:tc>
        <w:tc>
          <w:tcPr>
            <w:tcW w:w="0" w:type="auto"/>
            <w:vAlign w:val="center"/>
          </w:tcPr>
          <w:p w14:paraId="1E822C44" w14:textId="77777777" w:rsidR="00E27D2F" w:rsidRPr="00882976" w:rsidRDefault="00E27D2F" w:rsidP="005B6A8A">
            <w:pPr>
              <w:tabs>
                <w:tab w:val="left" w:pos="567"/>
                <w:tab w:val="left" w:pos="1134"/>
              </w:tabs>
              <w:spacing w:after="0"/>
              <w:jc w:val="center"/>
              <w:rPr>
                <w:rFonts w:cs="Arial"/>
              </w:rPr>
            </w:pPr>
          </w:p>
        </w:tc>
        <w:tc>
          <w:tcPr>
            <w:tcW w:w="983" w:type="dxa"/>
            <w:vAlign w:val="center"/>
          </w:tcPr>
          <w:p w14:paraId="02E8F2EA" w14:textId="77777777" w:rsidR="00E27D2F" w:rsidRPr="00882976" w:rsidRDefault="00E27D2F" w:rsidP="005B6A8A">
            <w:pPr>
              <w:tabs>
                <w:tab w:val="left" w:pos="567"/>
                <w:tab w:val="left" w:pos="1134"/>
              </w:tabs>
              <w:spacing w:after="0"/>
              <w:jc w:val="center"/>
              <w:rPr>
                <w:rFonts w:cs="Arial"/>
                <w:b/>
              </w:rPr>
            </w:pPr>
          </w:p>
        </w:tc>
      </w:tr>
      <w:tr w:rsidR="00E27D2F" w:rsidRPr="00882976" w14:paraId="36C50EBF" w14:textId="77777777" w:rsidTr="00957B05">
        <w:trPr>
          <w:trHeight w:val="684"/>
          <w:jc w:val="center"/>
        </w:trPr>
        <w:tc>
          <w:tcPr>
            <w:tcW w:w="0" w:type="auto"/>
            <w:vAlign w:val="center"/>
          </w:tcPr>
          <w:p w14:paraId="30C702E3" w14:textId="527A9C86" w:rsidR="00E27D2F" w:rsidRPr="00882976" w:rsidRDefault="00E27D2F" w:rsidP="005B6A8A">
            <w:pPr>
              <w:tabs>
                <w:tab w:val="left" w:pos="567"/>
                <w:tab w:val="left" w:pos="1134"/>
              </w:tabs>
              <w:spacing w:after="0"/>
              <w:jc w:val="left"/>
              <w:rPr>
                <w:rFonts w:cs="Arial"/>
                <w:b/>
              </w:rPr>
            </w:pPr>
            <w:r w:rsidRPr="00882976">
              <w:rPr>
                <w:rFonts w:cs="Arial"/>
                <w:b/>
              </w:rPr>
              <w:t>Impact on Financial Gap</w:t>
            </w:r>
          </w:p>
        </w:tc>
        <w:tc>
          <w:tcPr>
            <w:tcW w:w="0" w:type="auto"/>
            <w:vAlign w:val="center"/>
          </w:tcPr>
          <w:p w14:paraId="5DC68EDD" w14:textId="01A66795" w:rsidR="00E27D2F" w:rsidRPr="00882976" w:rsidRDefault="00C37DF8" w:rsidP="005B6A8A">
            <w:pPr>
              <w:tabs>
                <w:tab w:val="left" w:pos="567"/>
                <w:tab w:val="left" w:pos="1134"/>
              </w:tabs>
              <w:spacing w:after="0"/>
              <w:jc w:val="center"/>
              <w:rPr>
                <w:rFonts w:cs="Arial"/>
                <w:b/>
              </w:rPr>
            </w:pPr>
            <w:r w:rsidRPr="00882976">
              <w:rPr>
                <w:rFonts w:cs="Arial"/>
                <w:b/>
              </w:rPr>
              <w:t>-0.253</w:t>
            </w:r>
          </w:p>
        </w:tc>
        <w:tc>
          <w:tcPr>
            <w:tcW w:w="0" w:type="auto"/>
            <w:vAlign w:val="center"/>
          </w:tcPr>
          <w:p w14:paraId="25638A4E" w14:textId="26B0CBF8" w:rsidR="00E27D2F" w:rsidRPr="00882976" w:rsidRDefault="00C37DF8" w:rsidP="00234950">
            <w:pPr>
              <w:tabs>
                <w:tab w:val="left" w:pos="567"/>
                <w:tab w:val="left" w:pos="1134"/>
              </w:tabs>
              <w:spacing w:after="0"/>
              <w:jc w:val="center"/>
              <w:rPr>
                <w:rFonts w:cs="Arial"/>
                <w:b/>
              </w:rPr>
            </w:pPr>
            <w:r w:rsidRPr="00882976">
              <w:rPr>
                <w:rFonts w:cs="Arial"/>
                <w:b/>
              </w:rPr>
              <w:t>0.636</w:t>
            </w:r>
          </w:p>
        </w:tc>
        <w:tc>
          <w:tcPr>
            <w:tcW w:w="0" w:type="auto"/>
            <w:vAlign w:val="center"/>
          </w:tcPr>
          <w:p w14:paraId="76BD99E4" w14:textId="41E41A5F" w:rsidR="00E27D2F" w:rsidRPr="00882976" w:rsidRDefault="00C37DF8" w:rsidP="00234950">
            <w:pPr>
              <w:tabs>
                <w:tab w:val="left" w:pos="567"/>
                <w:tab w:val="left" w:pos="1134"/>
              </w:tabs>
              <w:spacing w:after="0"/>
              <w:jc w:val="center"/>
              <w:rPr>
                <w:rFonts w:cs="Arial"/>
                <w:b/>
              </w:rPr>
            </w:pPr>
            <w:r w:rsidRPr="00882976">
              <w:rPr>
                <w:rFonts w:cs="Arial"/>
                <w:b/>
              </w:rPr>
              <w:t>0.697</w:t>
            </w:r>
          </w:p>
        </w:tc>
        <w:tc>
          <w:tcPr>
            <w:tcW w:w="0" w:type="auto"/>
            <w:vAlign w:val="center"/>
          </w:tcPr>
          <w:p w14:paraId="62C5AB93" w14:textId="015D636F" w:rsidR="00E27D2F" w:rsidRPr="00882976" w:rsidRDefault="00C37DF8" w:rsidP="005B6A8A">
            <w:pPr>
              <w:tabs>
                <w:tab w:val="left" w:pos="567"/>
                <w:tab w:val="left" w:pos="1134"/>
              </w:tabs>
              <w:spacing w:after="0"/>
              <w:jc w:val="center"/>
              <w:rPr>
                <w:rFonts w:cs="Arial"/>
                <w:b/>
              </w:rPr>
            </w:pPr>
            <w:r w:rsidRPr="00882976">
              <w:rPr>
                <w:rFonts w:cs="Arial"/>
                <w:b/>
              </w:rPr>
              <w:t>-0.526</w:t>
            </w:r>
          </w:p>
        </w:tc>
        <w:tc>
          <w:tcPr>
            <w:tcW w:w="983" w:type="dxa"/>
            <w:vAlign w:val="center"/>
          </w:tcPr>
          <w:p w14:paraId="54540808" w14:textId="2FEC90E2" w:rsidR="00E27D2F" w:rsidRPr="00882976" w:rsidRDefault="00C37DF8" w:rsidP="00E27D2F">
            <w:pPr>
              <w:tabs>
                <w:tab w:val="left" w:pos="567"/>
                <w:tab w:val="left" w:pos="1134"/>
              </w:tabs>
              <w:spacing w:after="0"/>
              <w:jc w:val="center"/>
              <w:rPr>
                <w:rFonts w:cs="Arial"/>
                <w:b/>
              </w:rPr>
            </w:pPr>
            <w:r w:rsidRPr="00882976">
              <w:rPr>
                <w:rFonts w:cs="Arial"/>
                <w:b/>
              </w:rPr>
              <w:t>0.554</w:t>
            </w:r>
          </w:p>
        </w:tc>
      </w:tr>
    </w:tbl>
    <w:p w14:paraId="0C68572A" w14:textId="77777777" w:rsidR="002A09EE" w:rsidRPr="00882976" w:rsidRDefault="002A09EE" w:rsidP="002A09EE">
      <w:pPr>
        <w:spacing w:after="0"/>
        <w:rPr>
          <w:rFonts w:cs="Arial"/>
        </w:rPr>
      </w:pPr>
    </w:p>
    <w:p w14:paraId="19E4AA5F" w14:textId="77777777" w:rsidR="002A09EE" w:rsidRPr="00882976" w:rsidRDefault="002A09EE" w:rsidP="002A09EE">
      <w:pPr>
        <w:spacing w:after="0"/>
        <w:rPr>
          <w:rFonts w:cs="Arial"/>
        </w:rPr>
      </w:pPr>
      <w:r w:rsidRPr="00882976">
        <w:rPr>
          <w:rFonts w:cs="Arial"/>
        </w:rPr>
        <w:lastRenderedPageBreak/>
        <w:t>Some of the key areas of price pressure are:</w:t>
      </w:r>
    </w:p>
    <w:p w14:paraId="7468B641" w14:textId="77777777" w:rsidR="002A09EE" w:rsidRPr="00882976" w:rsidRDefault="002A09EE" w:rsidP="002A09EE">
      <w:pPr>
        <w:spacing w:after="0"/>
        <w:rPr>
          <w:rFonts w:cs="Arial"/>
        </w:rPr>
      </w:pPr>
    </w:p>
    <w:p w14:paraId="5CC09F17" w14:textId="2C3D2C9A" w:rsidR="00502E60" w:rsidRPr="00882976" w:rsidRDefault="00502E60" w:rsidP="00882976">
      <w:pPr>
        <w:pStyle w:val="ListParagraph"/>
        <w:numPr>
          <w:ilvl w:val="0"/>
          <w:numId w:val="29"/>
        </w:numPr>
        <w:spacing w:after="0"/>
        <w:rPr>
          <w:rFonts w:cs="Arial"/>
        </w:rPr>
      </w:pPr>
      <w:r w:rsidRPr="00882976">
        <w:rPr>
          <w:rFonts w:cs="Arial"/>
        </w:rPr>
        <w:t>A significant part of the</w:t>
      </w:r>
      <w:r w:rsidR="0065595B" w:rsidRPr="00882976">
        <w:rPr>
          <w:rFonts w:cs="Arial"/>
        </w:rPr>
        <w:t xml:space="preserve"> price pressure</w:t>
      </w:r>
      <w:r w:rsidRPr="00882976">
        <w:rPr>
          <w:rFonts w:cs="Arial"/>
        </w:rPr>
        <w:t>s shown</w:t>
      </w:r>
      <w:r w:rsidR="0065595B" w:rsidRPr="00882976">
        <w:rPr>
          <w:rFonts w:cs="Arial"/>
        </w:rPr>
        <w:t xml:space="preserve"> in the above table relate to in</w:t>
      </w:r>
      <w:r w:rsidR="008A4FCE" w:rsidRPr="00882976">
        <w:rPr>
          <w:rFonts w:cs="Arial"/>
        </w:rPr>
        <w:t xml:space="preserve">flationary pressures within Adults Services. This is calculated using a model designed by Lang and Buisson which is commonly used to estimate inflation within social care. It is forecast that a budget requirement of </w:t>
      </w:r>
      <w:r w:rsidR="00E27D2F" w:rsidRPr="00882976">
        <w:rPr>
          <w:rFonts w:cs="Arial"/>
        </w:rPr>
        <w:t>£</w:t>
      </w:r>
      <w:r w:rsidR="005D7E94" w:rsidRPr="00882976">
        <w:rPr>
          <w:rFonts w:cs="Arial"/>
        </w:rPr>
        <w:t>4</w:t>
      </w:r>
      <w:r w:rsidR="001F4537" w:rsidRPr="00882976">
        <w:rPr>
          <w:rFonts w:cs="Arial"/>
        </w:rPr>
        <w:t>5.419</w:t>
      </w:r>
      <w:r w:rsidR="005D7E94" w:rsidRPr="00882976">
        <w:rPr>
          <w:rFonts w:cs="Arial"/>
        </w:rPr>
        <w:t xml:space="preserve">m </w:t>
      </w:r>
      <w:r w:rsidR="002A09EE" w:rsidRPr="00882976">
        <w:rPr>
          <w:rFonts w:cs="Arial"/>
        </w:rPr>
        <w:t xml:space="preserve">over the </w:t>
      </w:r>
      <w:r w:rsidR="00E27D2F" w:rsidRPr="00882976">
        <w:rPr>
          <w:rFonts w:cs="Arial"/>
        </w:rPr>
        <w:t xml:space="preserve">MTFS </w:t>
      </w:r>
      <w:r w:rsidR="002A09EE" w:rsidRPr="00882976">
        <w:rPr>
          <w:rFonts w:cs="Arial"/>
        </w:rPr>
        <w:t>period</w:t>
      </w:r>
      <w:r w:rsidR="00E27D2F" w:rsidRPr="00882976">
        <w:rPr>
          <w:rFonts w:cs="Arial"/>
        </w:rPr>
        <w:t xml:space="preserve"> </w:t>
      </w:r>
      <w:r w:rsidR="008A4FCE" w:rsidRPr="00882976">
        <w:rPr>
          <w:rFonts w:cs="Arial"/>
        </w:rPr>
        <w:t>is required for</w:t>
      </w:r>
      <w:r w:rsidR="002A09EE" w:rsidRPr="00882976">
        <w:rPr>
          <w:rFonts w:cs="Arial"/>
        </w:rPr>
        <w:t xml:space="preserve"> payments to external providers of social care </w:t>
      </w:r>
      <w:r w:rsidR="00E64FE0">
        <w:rPr>
          <w:rFonts w:cs="Arial"/>
        </w:rPr>
        <w:t xml:space="preserve">(excluding the impact of the National Living Wage) </w:t>
      </w:r>
      <w:r w:rsidR="008A4FCE" w:rsidRPr="00882976">
        <w:rPr>
          <w:rFonts w:cs="Arial"/>
        </w:rPr>
        <w:t>and it is important that the</w:t>
      </w:r>
      <w:r w:rsidR="002A09EE" w:rsidRPr="00882976">
        <w:rPr>
          <w:rFonts w:cs="Arial"/>
        </w:rPr>
        <w:t xml:space="preserve"> County Council </w:t>
      </w:r>
      <w:r w:rsidR="008A4FCE" w:rsidRPr="00882976">
        <w:rPr>
          <w:rFonts w:cs="Arial"/>
        </w:rPr>
        <w:t>k</w:t>
      </w:r>
      <w:r w:rsidR="002A09EE" w:rsidRPr="00882976">
        <w:rPr>
          <w:rFonts w:cs="Arial"/>
        </w:rPr>
        <w:t>eep</w:t>
      </w:r>
      <w:r w:rsidR="008A4FCE" w:rsidRPr="00882976">
        <w:rPr>
          <w:rFonts w:cs="Arial"/>
        </w:rPr>
        <w:t>s</w:t>
      </w:r>
      <w:r w:rsidR="002A09EE" w:rsidRPr="00882976">
        <w:rPr>
          <w:rFonts w:cs="Arial"/>
        </w:rPr>
        <w:t xml:space="preserve"> up with increases in the price of resources for suppliers</w:t>
      </w:r>
      <w:r w:rsidR="008A4FCE" w:rsidRPr="00882976">
        <w:rPr>
          <w:rFonts w:cs="Arial"/>
        </w:rPr>
        <w:t xml:space="preserve"> to ensure the required service provision is delivered</w:t>
      </w:r>
      <w:r w:rsidR="002A09EE" w:rsidRPr="00882976">
        <w:rPr>
          <w:rFonts w:cs="Arial"/>
        </w:rPr>
        <w:t xml:space="preserve">. </w:t>
      </w:r>
    </w:p>
    <w:p w14:paraId="0896986C" w14:textId="77777777" w:rsidR="00502E60" w:rsidRPr="00882976" w:rsidRDefault="00502E60" w:rsidP="00502E60">
      <w:pPr>
        <w:pStyle w:val="ListParagraph"/>
        <w:spacing w:after="0"/>
        <w:rPr>
          <w:rFonts w:cs="Arial"/>
        </w:rPr>
      </w:pPr>
    </w:p>
    <w:p w14:paraId="3BC156F1" w14:textId="4534B860" w:rsidR="00502E60" w:rsidRPr="00882976" w:rsidRDefault="00502E60" w:rsidP="00502E60">
      <w:pPr>
        <w:pStyle w:val="ListParagraph"/>
        <w:spacing w:after="0"/>
        <w:rPr>
          <w:rFonts w:cs="Arial"/>
        </w:rPr>
      </w:pPr>
      <w:r w:rsidRPr="00882976">
        <w:rPr>
          <w:rFonts w:cs="Arial"/>
        </w:rPr>
        <w:t>The price inflation included in the MTFS for Adults Service is profiled as follows:</w:t>
      </w:r>
    </w:p>
    <w:p w14:paraId="2D0EC1EA" w14:textId="230D65AB" w:rsidR="00502E60" w:rsidRPr="00882976" w:rsidRDefault="00502E60" w:rsidP="00882976">
      <w:pPr>
        <w:pStyle w:val="ListParagraph"/>
        <w:numPr>
          <w:ilvl w:val="1"/>
          <w:numId w:val="29"/>
        </w:numPr>
        <w:spacing w:after="0"/>
        <w:jc w:val="left"/>
        <w:rPr>
          <w:rFonts w:cs="Arial"/>
        </w:rPr>
      </w:pPr>
      <w:r w:rsidRPr="00882976">
        <w:rPr>
          <w:rFonts w:cs="Arial"/>
        </w:rPr>
        <w:t>2017/18 – £14.232m</w:t>
      </w:r>
    </w:p>
    <w:p w14:paraId="223E53F0" w14:textId="71C6AC07" w:rsidR="00502E60" w:rsidRPr="00882976" w:rsidRDefault="00502E60" w:rsidP="00882976">
      <w:pPr>
        <w:pStyle w:val="ListParagraph"/>
        <w:numPr>
          <w:ilvl w:val="1"/>
          <w:numId w:val="29"/>
        </w:numPr>
        <w:spacing w:after="0"/>
        <w:jc w:val="left"/>
        <w:rPr>
          <w:rFonts w:cs="Arial"/>
        </w:rPr>
      </w:pPr>
      <w:r w:rsidRPr="00882976">
        <w:rPr>
          <w:rFonts w:cs="Arial"/>
        </w:rPr>
        <w:t>2018/19 - £9.668m</w:t>
      </w:r>
    </w:p>
    <w:p w14:paraId="43F038FA" w14:textId="468A87F9" w:rsidR="00502E60" w:rsidRPr="00882976" w:rsidRDefault="00502E60" w:rsidP="00882976">
      <w:pPr>
        <w:pStyle w:val="ListParagraph"/>
        <w:numPr>
          <w:ilvl w:val="1"/>
          <w:numId w:val="29"/>
        </w:numPr>
        <w:spacing w:after="0"/>
        <w:jc w:val="left"/>
        <w:rPr>
          <w:rFonts w:cs="Arial"/>
        </w:rPr>
      </w:pPr>
      <w:r w:rsidRPr="00882976">
        <w:rPr>
          <w:rFonts w:cs="Arial"/>
        </w:rPr>
        <w:t>2019/20 - £10.395m</w:t>
      </w:r>
    </w:p>
    <w:p w14:paraId="2A320C0B" w14:textId="2210C8EB" w:rsidR="00502E60" w:rsidRPr="00882976" w:rsidRDefault="00502E60" w:rsidP="00882976">
      <w:pPr>
        <w:pStyle w:val="ListParagraph"/>
        <w:numPr>
          <w:ilvl w:val="1"/>
          <w:numId w:val="29"/>
        </w:numPr>
        <w:spacing w:after="0"/>
        <w:jc w:val="left"/>
        <w:rPr>
          <w:rFonts w:cs="Arial"/>
        </w:rPr>
      </w:pPr>
      <w:r w:rsidRPr="00882976">
        <w:rPr>
          <w:rFonts w:cs="Arial"/>
        </w:rPr>
        <w:t>2020/21 - £11.124m</w:t>
      </w:r>
    </w:p>
    <w:p w14:paraId="5D04DA43" w14:textId="77777777" w:rsidR="00502E60" w:rsidRPr="00882976" w:rsidRDefault="00502E60" w:rsidP="00502E60">
      <w:pPr>
        <w:pStyle w:val="ListParagraph"/>
        <w:spacing w:after="0"/>
        <w:rPr>
          <w:rFonts w:cs="Arial"/>
        </w:rPr>
      </w:pPr>
    </w:p>
    <w:p w14:paraId="2C8618D9" w14:textId="693F0851" w:rsidR="008E0918" w:rsidRPr="00882976" w:rsidRDefault="005D7E94" w:rsidP="007D4A71">
      <w:pPr>
        <w:pStyle w:val="ListParagraph"/>
        <w:spacing w:after="0"/>
        <w:rPr>
          <w:rFonts w:cs="Arial"/>
        </w:rPr>
      </w:pPr>
      <w:r w:rsidRPr="00882976">
        <w:rPr>
          <w:rFonts w:cs="Arial"/>
        </w:rPr>
        <w:t>Th</w:t>
      </w:r>
      <w:r w:rsidR="007D4A71" w:rsidRPr="00882976">
        <w:rPr>
          <w:rFonts w:cs="Arial"/>
        </w:rPr>
        <w:t>e inflationary pressures included in this MTFS</w:t>
      </w:r>
      <w:r w:rsidRPr="00882976">
        <w:rPr>
          <w:rFonts w:cs="Arial"/>
        </w:rPr>
        <w:t xml:space="preserve"> </w:t>
      </w:r>
      <w:r w:rsidR="007D4A71" w:rsidRPr="00882976">
        <w:rPr>
          <w:rFonts w:cs="Arial"/>
        </w:rPr>
        <w:t xml:space="preserve">for Adults Services reflects a </w:t>
      </w:r>
      <w:r w:rsidRPr="00882976">
        <w:rPr>
          <w:rFonts w:cs="Arial"/>
        </w:rPr>
        <w:t xml:space="preserve"> reduction of £</w:t>
      </w:r>
      <w:r w:rsidR="001F4537" w:rsidRPr="00882976">
        <w:rPr>
          <w:rFonts w:cs="Arial"/>
        </w:rPr>
        <w:t>2.537</w:t>
      </w:r>
      <w:r w:rsidRPr="00882976">
        <w:rPr>
          <w:rFonts w:cs="Arial"/>
        </w:rPr>
        <w:t xml:space="preserve">m following the realignment of budgets and some slight amendments to demand figures based on the most up to date information available. </w:t>
      </w:r>
      <w:r w:rsidR="002A09EE" w:rsidRPr="00882976">
        <w:rPr>
          <w:rFonts w:cs="Arial"/>
        </w:rPr>
        <w:t>The County Council has a legal responsibility to demonstrate the suppliers are able to deliver services with the fees paid to them.</w:t>
      </w:r>
      <w:r w:rsidR="00E27D2F" w:rsidRPr="00882976">
        <w:rPr>
          <w:rFonts w:cs="Arial"/>
        </w:rPr>
        <w:t xml:space="preserve"> </w:t>
      </w:r>
      <w:r w:rsidR="00AC67F1" w:rsidRPr="00882976">
        <w:rPr>
          <w:rFonts w:cs="Arial"/>
        </w:rPr>
        <w:t xml:space="preserve">This figure also incorporates recent fee increases </w:t>
      </w:r>
      <w:r w:rsidR="004E47A9" w:rsidRPr="00882976">
        <w:rPr>
          <w:rFonts w:cs="Arial"/>
        </w:rPr>
        <w:t>of £5.2</w:t>
      </w:r>
      <w:r w:rsidR="007D4A71" w:rsidRPr="00882976">
        <w:rPr>
          <w:rFonts w:cs="Arial"/>
        </w:rPr>
        <w:t>00</w:t>
      </w:r>
      <w:r w:rsidR="004E47A9" w:rsidRPr="00882976">
        <w:rPr>
          <w:rFonts w:cs="Arial"/>
        </w:rPr>
        <w:t xml:space="preserve">m </w:t>
      </w:r>
      <w:r w:rsidR="00AC67F1" w:rsidRPr="00882976">
        <w:rPr>
          <w:rFonts w:cs="Arial"/>
        </w:rPr>
        <w:t>that were agreed by the Cabinet Member</w:t>
      </w:r>
      <w:r w:rsidR="00E6630C" w:rsidRPr="00882976">
        <w:rPr>
          <w:rFonts w:cs="Arial"/>
        </w:rPr>
        <w:t xml:space="preserve"> </w:t>
      </w:r>
      <w:r w:rsidR="00270A7A" w:rsidRPr="00882976">
        <w:rPr>
          <w:rFonts w:cs="Arial"/>
        </w:rPr>
        <w:t>which</w:t>
      </w:r>
      <w:r w:rsidR="00E6630C" w:rsidRPr="00882976">
        <w:rPr>
          <w:rFonts w:cs="Arial"/>
        </w:rPr>
        <w:t xml:space="preserve"> is the main reason behind the additional requirement in 2017/18. </w:t>
      </w:r>
    </w:p>
    <w:p w14:paraId="0EFC0B2F" w14:textId="77777777" w:rsidR="008E0918" w:rsidRPr="00882976" w:rsidRDefault="008E0918" w:rsidP="002A09EE">
      <w:pPr>
        <w:spacing w:after="0"/>
        <w:rPr>
          <w:rFonts w:cs="Arial"/>
        </w:rPr>
      </w:pPr>
    </w:p>
    <w:p w14:paraId="6DD3AF49" w14:textId="1D12E0AB" w:rsidR="009A71EE" w:rsidRPr="00882976" w:rsidRDefault="008A4FCE" w:rsidP="00882976">
      <w:pPr>
        <w:pStyle w:val="ListParagraph"/>
        <w:numPr>
          <w:ilvl w:val="0"/>
          <w:numId w:val="27"/>
        </w:numPr>
        <w:spacing w:after="0"/>
        <w:rPr>
          <w:rFonts w:cs="Arial"/>
        </w:rPr>
      </w:pPr>
      <w:r w:rsidRPr="00882976">
        <w:rPr>
          <w:rFonts w:cs="Arial"/>
        </w:rPr>
        <w:t>Waste Disposal continues to require significant budget to meet inflationary commitments over the next four years. In total the total budget requi</w:t>
      </w:r>
      <w:r w:rsidR="00B637A8" w:rsidRPr="00882976">
        <w:rPr>
          <w:rFonts w:cs="Arial"/>
        </w:rPr>
        <w:t>rement for the service is £</w:t>
      </w:r>
      <w:r w:rsidR="00C37DF8" w:rsidRPr="00882976">
        <w:rPr>
          <w:rFonts w:cs="Arial"/>
        </w:rPr>
        <w:t>9.055</w:t>
      </w:r>
      <w:r w:rsidRPr="00882976">
        <w:rPr>
          <w:rFonts w:cs="Arial"/>
        </w:rPr>
        <w:t>m</w:t>
      </w:r>
      <w:r w:rsidR="00F7670E" w:rsidRPr="00882976">
        <w:rPr>
          <w:rFonts w:cs="Arial"/>
        </w:rPr>
        <w:t>.</w:t>
      </w:r>
      <w:r w:rsidR="002A09EE" w:rsidRPr="00882976">
        <w:rPr>
          <w:rFonts w:cs="Arial"/>
        </w:rPr>
        <w:t xml:space="preserve"> </w:t>
      </w:r>
      <w:r w:rsidR="004E47A9" w:rsidRPr="00882976">
        <w:rPr>
          <w:rFonts w:cs="Arial"/>
        </w:rPr>
        <w:t>The requirement within the previous</w:t>
      </w:r>
      <w:r w:rsidRPr="00882976">
        <w:rPr>
          <w:rFonts w:cs="Arial"/>
        </w:rPr>
        <w:t xml:space="preserve"> MTFS was £7.262</w:t>
      </w:r>
      <w:r w:rsidR="004E47A9" w:rsidRPr="00882976">
        <w:rPr>
          <w:rFonts w:cs="Arial"/>
        </w:rPr>
        <w:t>m with the revised position incorporating</w:t>
      </w:r>
      <w:r w:rsidRPr="00882976">
        <w:rPr>
          <w:rFonts w:cs="Arial"/>
        </w:rPr>
        <w:t xml:space="preserve"> the increased demand budget that will then require inflation to be applied to it</w:t>
      </w:r>
      <w:r w:rsidR="00E6630C" w:rsidRPr="00882976">
        <w:rPr>
          <w:rFonts w:cs="Arial"/>
        </w:rPr>
        <w:t xml:space="preserve">. </w:t>
      </w:r>
    </w:p>
    <w:p w14:paraId="7841AF2C" w14:textId="77777777" w:rsidR="00C37DF8" w:rsidRPr="00882976" w:rsidRDefault="00C37DF8" w:rsidP="00C37DF8">
      <w:pPr>
        <w:pStyle w:val="ListParagraph"/>
        <w:spacing w:after="0"/>
        <w:rPr>
          <w:rFonts w:cs="Arial"/>
        </w:rPr>
      </w:pPr>
    </w:p>
    <w:p w14:paraId="6CF87914" w14:textId="0A116284" w:rsidR="002A09EE" w:rsidRPr="00882976" w:rsidRDefault="008A4FCE" w:rsidP="00882976">
      <w:pPr>
        <w:pStyle w:val="ListParagraph"/>
        <w:numPr>
          <w:ilvl w:val="0"/>
          <w:numId w:val="27"/>
        </w:numPr>
        <w:autoSpaceDE/>
        <w:autoSpaceDN/>
        <w:adjustRightInd/>
        <w:spacing w:after="0"/>
        <w:rPr>
          <w:rFonts w:cs="Arial"/>
        </w:rPr>
      </w:pPr>
      <w:r w:rsidRPr="00882976">
        <w:rPr>
          <w:rFonts w:cs="Arial"/>
        </w:rPr>
        <w:t xml:space="preserve">Children's Social Care is the final significant area that required price inflation within its budget. In the previous MTFS a total of £6.086m was included for items that will inflate such as </w:t>
      </w:r>
      <w:r w:rsidR="002A09EE" w:rsidRPr="00882976">
        <w:rPr>
          <w:rFonts w:cs="Arial"/>
        </w:rPr>
        <w:t>agency payments, residence orders, foster and other allowances and payments to health.</w:t>
      </w:r>
      <w:r w:rsidRPr="00882976">
        <w:rPr>
          <w:rFonts w:cs="Arial"/>
        </w:rPr>
        <w:t xml:space="preserve"> The revised requirement in this MTFS over the four year period is £7.344m</w:t>
      </w:r>
      <w:r w:rsidR="002A09EE" w:rsidRPr="00882976">
        <w:rPr>
          <w:rFonts w:cs="Arial"/>
        </w:rPr>
        <w:t xml:space="preserve"> </w:t>
      </w:r>
      <w:r w:rsidRPr="00882976">
        <w:rPr>
          <w:rFonts w:cs="Arial"/>
        </w:rPr>
        <w:t>with the increased pressure</w:t>
      </w:r>
      <w:r w:rsidR="00E56CB8" w:rsidRPr="00882976">
        <w:rPr>
          <w:rFonts w:cs="Arial"/>
        </w:rPr>
        <w:t xml:space="preserve"> </w:t>
      </w:r>
      <w:r w:rsidRPr="00882976">
        <w:rPr>
          <w:rFonts w:cs="Arial"/>
        </w:rPr>
        <w:t xml:space="preserve">linked to </w:t>
      </w:r>
      <w:r w:rsidR="00E56CB8" w:rsidRPr="00882976">
        <w:rPr>
          <w:rFonts w:cs="Arial"/>
        </w:rPr>
        <w:t xml:space="preserve">the increased demand that will have an inflationary pressure applied to it. </w:t>
      </w:r>
    </w:p>
    <w:p w14:paraId="575AA3D1" w14:textId="77777777" w:rsidR="00A70380" w:rsidRPr="00882976" w:rsidRDefault="00A70380" w:rsidP="00A70380">
      <w:pPr>
        <w:pStyle w:val="ListParagraph"/>
        <w:rPr>
          <w:rFonts w:cs="Arial"/>
        </w:rPr>
      </w:pPr>
    </w:p>
    <w:p w14:paraId="76A71EE9" w14:textId="61837F22" w:rsidR="00AF4AF2" w:rsidRPr="00882976" w:rsidRDefault="00A70380" w:rsidP="00882976">
      <w:pPr>
        <w:pStyle w:val="ListParagraph"/>
        <w:numPr>
          <w:ilvl w:val="0"/>
          <w:numId w:val="27"/>
        </w:numPr>
        <w:autoSpaceDE/>
        <w:autoSpaceDN/>
        <w:adjustRightInd/>
        <w:spacing w:after="0"/>
        <w:rPr>
          <w:rFonts w:cs="Arial"/>
        </w:rPr>
      </w:pPr>
      <w:r w:rsidRPr="00882976">
        <w:rPr>
          <w:rFonts w:cs="Arial"/>
        </w:rPr>
        <w:t xml:space="preserve">Other smaller areas of price inflation include transport costs, concessionary travel, highways, winter maintenance, energy and legal fees. </w:t>
      </w:r>
    </w:p>
    <w:p w14:paraId="0459D439" w14:textId="77777777" w:rsidR="00AF4AF2" w:rsidRPr="00882976" w:rsidRDefault="00AF4AF2" w:rsidP="00F53647">
      <w:pPr>
        <w:autoSpaceDE/>
        <w:autoSpaceDN/>
        <w:adjustRightInd/>
        <w:spacing w:after="0"/>
        <w:jc w:val="left"/>
        <w:rPr>
          <w:rFonts w:cs="Arial"/>
          <w:b/>
          <w:highlight w:val="yellow"/>
        </w:rPr>
      </w:pPr>
    </w:p>
    <w:p w14:paraId="1DB3F9C3" w14:textId="00F9EC4D" w:rsidR="00F53647" w:rsidRPr="00882976" w:rsidRDefault="005A1497" w:rsidP="00F53647">
      <w:pPr>
        <w:tabs>
          <w:tab w:val="left" w:pos="567"/>
          <w:tab w:val="left" w:pos="1134"/>
        </w:tabs>
        <w:spacing w:after="0"/>
        <w:rPr>
          <w:rFonts w:cs="Arial"/>
          <w:b/>
        </w:rPr>
      </w:pPr>
      <w:r w:rsidRPr="00882976">
        <w:rPr>
          <w:rFonts w:cs="Arial"/>
          <w:b/>
        </w:rPr>
        <w:t>3.3</w:t>
      </w:r>
      <w:r w:rsidR="00F53647" w:rsidRPr="00882976">
        <w:rPr>
          <w:rFonts w:cs="Arial"/>
          <w:b/>
        </w:rPr>
        <w:tab/>
        <w:t>Demand Pressures</w:t>
      </w:r>
    </w:p>
    <w:p w14:paraId="1C817C98" w14:textId="77777777" w:rsidR="00F53647" w:rsidRPr="00882976" w:rsidRDefault="00F53647" w:rsidP="00F53647">
      <w:pPr>
        <w:tabs>
          <w:tab w:val="left" w:pos="567"/>
          <w:tab w:val="left" w:pos="1134"/>
        </w:tabs>
        <w:spacing w:after="0"/>
        <w:rPr>
          <w:rFonts w:cs="Arial"/>
          <w:b/>
        </w:rPr>
      </w:pPr>
    </w:p>
    <w:p w14:paraId="2E958306" w14:textId="77777777" w:rsidR="00F53647" w:rsidRPr="00882976" w:rsidRDefault="00F53647" w:rsidP="00F53647">
      <w:pPr>
        <w:tabs>
          <w:tab w:val="left" w:pos="567"/>
          <w:tab w:val="left" w:pos="1134"/>
        </w:tabs>
        <w:spacing w:after="0"/>
        <w:rPr>
          <w:rFonts w:cs="Arial"/>
        </w:rPr>
      </w:pPr>
      <w:r w:rsidRPr="00882976">
        <w:rPr>
          <w:rFonts w:cs="Arial"/>
        </w:rPr>
        <w:t>All services have reviewed the demand pressures faced b</w:t>
      </w:r>
      <w:r w:rsidR="00935FA0" w:rsidRPr="00882976">
        <w:rPr>
          <w:rFonts w:cs="Arial"/>
        </w:rPr>
        <w:t xml:space="preserve">y the </w:t>
      </w:r>
      <w:r w:rsidR="000A4469" w:rsidRPr="00882976">
        <w:rPr>
          <w:rFonts w:cs="Arial"/>
        </w:rPr>
        <w:t xml:space="preserve">County </w:t>
      </w:r>
      <w:r w:rsidR="00935FA0" w:rsidRPr="00882976">
        <w:rPr>
          <w:rFonts w:cs="Arial"/>
        </w:rPr>
        <w:t>C</w:t>
      </w:r>
      <w:r w:rsidRPr="00882976">
        <w:rPr>
          <w:rFonts w:cs="Arial"/>
        </w:rPr>
        <w:t>ouncil in future years. The impact of this review has been identified and is reflected in the revised MTFS and it can be seen that a significant proportion of the funding gap that has been identified is due to demand pressures.</w:t>
      </w:r>
    </w:p>
    <w:p w14:paraId="38D052AC" w14:textId="77777777" w:rsidR="00F53647" w:rsidRPr="00882976" w:rsidRDefault="00F53647" w:rsidP="00F53647">
      <w:pPr>
        <w:tabs>
          <w:tab w:val="left" w:pos="567"/>
          <w:tab w:val="left" w:pos="1134"/>
        </w:tabs>
        <w:spacing w:after="0"/>
        <w:rPr>
          <w:rFonts w:cs="Arial"/>
          <w:highlight w:val="yellow"/>
        </w:rPr>
      </w:pPr>
    </w:p>
    <w:p w14:paraId="2B0073FE" w14:textId="1A1F0ADF" w:rsidR="00F53647" w:rsidRPr="00882976" w:rsidRDefault="00F53647" w:rsidP="00F53647">
      <w:pPr>
        <w:tabs>
          <w:tab w:val="left" w:pos="567"/>
          <w:tab w:val="left" w:pos="1134"/>
        </w:tabs>
        <w:spacing w:after="0"/>
        <w:rPr>
          <w:rFonts w:cs="Arial"/>
        </w:rPr>
      </w:pPr>
      <w:r w:rsidRPr="00882976">
        <w:rPr>
          <w:rFonts w:cs="Arial"/>
        </w:rPr>
        <w:t>In total it is estimated that the demand pressures are</w:t>
      </w:r>
      <w:r w:rsidR="0000699F" w:rsidRPr="00882976">
        <w:rPr>
          <w:rFonts w:cs="Arial"/>
        </w:rPr>
        <w:t xml:space="preserve"> </w:t>
      </w:r>
      <w:r w:rsidR="00F10592" w:rsidRPr="00882976">
        <w:rPr>
          <w:rFonts w:cs="Arial"/>
        </w:rPr>
        <w:t>now £</w:t>
      </w:r>
      <w:r w:rsidR="002474E4" w:rsidRPr="00882976">
        <w:rPr>
          <w:rFonts w:cs="Arial"/>
        </w:rPr>
        <w:t>87.599m</w:t>
      </w:r>
      <w:r w:rsidRPr="00882976">
        <w:rPr>
          <w:rFonts w:cs="Arial"/>
        </w:rPr>
        <w:t xml:space="preserve">. This is </w:t>
      </w:r>
      <w:r w:rsidR="005D7E94" w:rsidRPr="00882976">
        <w:rPr>
          <w:rFonts w:cs="Arial"/>
        </w:rPr>
        <w:t>an increase</w:t>
      </w:r>
      <w:r w:rsidR="00F10592" w:rsidRPr="00882976">
        <w:rPr>
          <w:rFonts w:cs="Arial"/>
        </w:rPr>
        <w:t xml:space="preserve"> of £</w:t>
      </w:r>
      <w:r w:rsidR="002474E4" w:rsidRPr="00882976">
        <w:rPr>
          <w:rFonts w:cs="Arial"/>
        </w:rPr>
        <w:t>2.457</w:t>
      </w:r>
      <w:r w:rsidR="00AB0EBD" w:rsidRPr="00882976">
        <w:rPr>
          <w:rFonts w:cs="Arial"/>
        </w:rPr>
        <w:t xml:space="preserve">m </w:t>
      </w:r>
      <w:r w:rsidR="00F10592" w:rsidRPr="00882976">
        <w:rPr>
          <w:rFonts w:cs="Arial"/>
        </w:rPr>
        <w:t>from the previous MTFS over this time period</w:t>
      </w:r>
      <w:r w:rsidRPr="00882976">
        <w:rPr>
          <w:rFonts w:cs="Arial"/>
        </w:rPr>
        <w:t>.</w:t>
      </w:r>
    </w:p>
    <w:p w14:paraId="0B2A73ED" w14:textId="77777777" w:rsidR="00AC67F1" w:rsidRPr="00882976" w:rsidRDefault="00AC67F1" w:rsidP="00F53647">
      <w:pPr>
        <w:tabs>
          <w:tab w:val="left" w:pos="567"/>
          <w:tab w:val="left" w:pos="1134"/>
        </w:tabs>
        <w:spacing w:after="0"/>
        <w:rPr>
          <w:rFonts w:cs="Arial"/>
          <w:highlight w:val="yellow"/>
        </w:rPr>
      </w:pPr>
    </w:p>
    <w:p w14:paraId="76AE107A" w14:textId="77777777" w:rsidR="00AC67F1" w:rsidRPr="00882976" w:rsidRDefault="00AC67F1" w:rsidP="00F53647">
      <w:pPr>
        <w:tabs>
          <w:tab w:val="left" w:pos="567"/>
          <w:tab w:val="left" w:pos="1134"/>
        </w:tabs>
        <w:spacing w:after="0"/>
        <w:rPr>
          <w:rFonts w:cs="Arial"/>
          <w:highlight w:val="yellow"/>
        </w:rPr>
      </w:pPr>
    </w:p>
    <w:tbl>
      <w:tblPr>
        <w:tblStyle w:val="TableGrid"/>
        <w:tblW w:w="8359" w:type="dxa"/>
        <w:jc w:val="center"/>
        <w:tblLook w:val="04A0" w:firstRow="1" w:lastRow="0" w:firstColumn="1" w:lastColumn="0" w:noHBand="0" w:noVBand="1"/>
      </w:tblPr>
      <w:tblGrid>
        <w:gridCol w:w="2878"/>
        <w:gridCol w:w="1084"/>
        <w:gridCol w:w="1084"/>
        <w:gridCol w:w="1084"/>
        <w:gridCol w:w="1084"/>
        <w:gridCol w:w="1145"/>
      </w:tblGrid>
      <w:tr w:rsidR="00AC67F1" w:rsidRPr="00882976" w14:paraId="1D3B6ACB" w14:textId="77777777" w:rsidTr="00AB0EBD">
        <w:trPr>
          <w:trHeight w:val="684"/>
          <w:jc w:val="center"/>
        </w:trPr>
        <w:tc>
          <w:tcPr>
            <w:tcW w:w="0" w:type="auto"/>
            <w:shd w:val="clear" w:color="auto" w:fill="BFBFBF" w:themeFill="background1" w:themeFillShade="BF"/>
          </w:tcPr>
          <w:p w14:paraId="3BCDD13C" w14:textId="77777777" w:rsidR="00AC67F1" w:rsidRPr="00882976" w:rsidRDefault="00AC67F1" w:rsidP="00AC67F1">
            <w:pPr>
              <w:tabs>
                <w:tab w:val="left" w:pos="567"/>
                <w:tab w:val="left" w:pos="1134"/>
              </w:tabs>
              <w:spacing w:after="0"/>
              <w:rPr>
                <w:rFonts w:cs="Arial"/>
              </w:rPr>
            </w:pPr>
          </w:p>
        </w:tc>
        <w:tc>
          <w:tcPr>
            <w:tcW w:w="0" w:type="auto"/>
            <w:shd w:val="clear" w:color="auto" w:fill="BFBFBF" w:themeFill="background1" w:themeFillShade="BF"/>
            <w:vAlign w:val="center"/>
          </w:tcPr>
          <w:p w14:paraId="61E0CCCD" w14:textId="77777777" w:rsidR="00AC67F1" w:rsidRPr="00882976" w:rsidRDefault="00AC67F1" w:rsidP="00AC67F1">
            <w:pPr>
              <w:tabs>
                <w:tab w:val="left" w:pos="567"/>
                <w:tab w:val="left" w:pos="1134"/>
              </w:tabs>
              <w:spacing w:after="0"/>
              <w:jc w:val="center"/>
              <w:rPr>
                <w:rFonts w:cs="Arial"/>
                <w:b/>
              </w:rPr>
            </w:pPr>
            <w:r w:rsidRPr="00882976">
              <w:rPr>
                <w:rFonts w:cs="Arial"/>
                <w:b/>
              </w:rPr>
              <w:t>2017/18</w:t>
            </w:r>
          </w:p>
          <w:p w14:paraId="081DC4CB" w14:textId="77777777" w:rsidR="00AC67F1" w:rsidRPr="00882976" w:rsidRDefault="00AC67F1" w:rsidP="00AC67F1">
            <w:pPr>
              <w:tabs>
                <w:tab w:val="left" w:pos="567"/>
                <w:tab w:val="left" w:pos="1134"/>
              </w:tabs>
              <w:spacing w:after="0"/>
              <w:jc w:val="center"/>
              <w:rPr>
                <w:rFonts w:cs="Arial"/>
                <w:b/>
              </w:rPr>
            </w:pPr>
            <w:r w:rsidRPr="00882976">
              <w:rPr>
                <w:rFonts w:cs="Arial"/>
                <w:b/>
              </w:rPr>
              <w:t>£m</w:t>
            </w:r>
          </w:p>
        </w:tc>
        <w:tc>
          <w:tcPr>
            <w:tcW w:w="0" w:type="auto"/>
            <w:shd w:val="clear" w:color="auto" w:fill="BFBFBF" w:themeFill="background1" w:themeFillShade="BF"/>
            <w:vAlign w:val="center"/>
          </w:tcPr>
          <w:p w14:paraId="79135DEF" w14:textId="77777777" w:rsidR="00AC67F1" w:rsidRPr="00882976" w:rsidRDefault="00AC67F1" w:rsidP="00AC67F1">
            <w:pPr>
              <w:tabs>
                <w:tab w:val="left" w:pos="567"/>
                <w:tab w:val="left" w:pos="1134"/>
              </w:tabs>
              <w:spacing w:after="0"/>
              <w:jc w:val="center"/>
              <w:rPr>
                <w:rFonts w:cs="Arial"/>
                <w:b/>
              </w:rPr>
            </w:pPr>
            <w:r w:rsidRPr="00882976">
              <w:rPr>
                <w:rFonts w:cs="Arial"/>
                <w:b/>
              </w:rPr>
              <w:t>2018/19</w:t>
            </w:r>
          </w:p>
          <w:p w14:paraId="770790E2" w14:textId="77777777" w:rsidR="00AC67F1" w:rsidRPr="00882976" w:rsidRDefault="00AC67F1" w:rsidP="00AC67F1">
            <w:pPr>
              <w:tabs>
                <w:tab w:val="left" w:pos="567"/>
                <w:tab w:val="left" w:pos="1134"/>
              </w:tabs>
              <w:spacing w:after="0"/>
              <w:jc w:val="center"/>
              <w:rPr>
                <w:rFonts w:cs="Arial"/>
                <w:b/>
              </w:rPr>
            </w:pPr>
            <w:r w:rsidRPr="00882976">
              <w:rPr>
                <w:rFonts w:cs="Arial"/>
                <w:b/>
              </w:rPr>
              <w:t>£m</w:t>
            </w:r>
          </w:p>
        </w:tc>
        <w:tc>
          <w:tcPr>
            <w:tcW w:w="0" w:type="auto"/>
            <w:shd w:val="clear" w:color="auto" w:fill="BFBFBF" w:themeFill="background1" w:themeFillShade="BF"/>
            <w:vAlign w:val="center"/>
          </w:tcPr>
          <w:p w14:paraId="784E2010" w14:textId="77777777" w:rsidR="00AC67F1" w:rsidRPr="00882976" w:rsidRDefault="00AC67F1" w:rsidP="00AC67F1">
            <w:pPr>
              <w:tabs>
                <w:tab w:val="left" w:pos="567"/>
                <w:tab w:val="left" w:pos="1134"/>
              </w:tabs>
              <w:spacing w:after="0"/>
              <w:jc w:val="center"/>
              <w:rPr>
                <w:rFonts w:cs="Arial"/>
                <w:b/>
              </w:rPr>
            </w:pPr>
            <w:r w:rsidRPr="00882976">
              <w:rPr>
                <w:rFonts w:cs="Arial"/>
                <w:b/>
              </w:rPr>
              <w:t>2019/20</w:t>
            </w:r>
          </w:p>
          <w:p w14:paraId="683110A7" w14:textId="77777777" w:rsidR="00AC67F1" w:rsidRPr="00882976" w:rsidRDefault="00AC67F1" w:rsidP="00AC67F1">
            <w:pPr>
              <w:tabs>
                <w:tab w:val="left" w:pos="567"/>
                <w:tab w:val="left" w:pos="1134"/>
              </w:tabs>
              <w:spacing w:after="0"/>
              <w:jc w:val="center"/>
              <w:rPr>
                <w:rFonts w:cs="Arial"/>
                <w:b/>
              </w:rPr>
            </w:pPr>
            <w:r w:rsidRPr="00882976">
              <w:rPr>
                <w:rFonts w:cs="Arial"/>
                <w:b/>
              </w:rPr>
              <w:t>£m</w:t>
            </w:r>
          </w:p>
        </w:tc>
        <w:tc>
          <w:tcPr>
            <w:tcW w:w="0" w:type="auto"/>
            <w:shd w:val="clear" w:color="auto" w:fill="BFBFBF" w:themeFill="background1" w:themeFillShade="BF"/>
            <w:vAlign w:val="center"/>
          </w:tcPr>
          <w:p w14:paraId="3D58C6D6" w14:textId="77777777" w:rsidR="00AC67F1" w:rsidRPr="00882976" w:rsidRDefault="00AC67F1" w:rsidP="00AC67F1">
            <w:pPr>
              <w:tabs>
                <w:tab w:val="left" w:pos="567"/>
                <w:tab w:val="left" w:pos="1134"/>
              </w:tabs>
              <w:spacing w:after="0"/>
              <w:jc w:val="center"/>
              <w:rPr>
                <w:rFonts w:cs="Arial"/>
                <w:b/>
              </w:rPr>
            </w:pPr>
            <w:r w:rsidRPr="00882976">
              <w:rPr>
                <w:rFonts w:cs="Arial"/>
                <w:b/>
              </w:rPr>
              <w:t>2020/21</w:t>
            </w:r>
          </w:p>
          <w:p w14:paraId="11D0D65D" w14:textId="77777777" w:rsidR="00AC67F1" w:rsidRPr="00882976" w:rsidRDefault="00AC67F1" w:rsidP="00AC67F1">
            <w:pPr>
              <w:tabs>
                <w:tab w:val="left" w:pos="567"/>
                <w:tab w:val="left" w:pos="1134"/>
              </w:tabs>
              <w:spacing w:after="0"/>
              <w:jc w:val="center"/>
              <w:rPr>
                <w:rFonts w:cs="Arial"/>
                <w:b/>
              </w:rPr>
            </w:pPr>
            <w:r w:rsidRPr="00882976">
              <w:rPr>
                <w:rFonts w:cs="Arial"/>
                <w:b/>
              </w:rPr>
              <w:t>£m</w:t>
            </w:r>
          </w:p>
        </w:tc>
        <w:tc>
          <w:tcPr>
            <w:tcW w:w="1145" w:type="dxa"/>
            <w:shd w:val="clear" w:color="auto" w:fill="BFBFBF" w:themeFill="background1" w:themeFillShade="BF"/>
            <w:vAlign w:val="center"/>
          </w:tcPr>
          <w:p w14:paraId="13BC605D" w14:textId="77777777" w:rsidR="00AC67F1" w:rsidRPr="00882976" w:rsidRDefault="00AC67F1" w:rsidP="00AC67F1">
            <w:pPr>
              <w:tabs>
                <w:tab w:val="left" w:pos="567"/>
                <w:tab w:val="left" w:pos="1134"/>
              </w:tabs>
              <w:spacing w:after="0"/>
              <w:jc w:val="center"/>
              <w:rPr>
                <w:rFonts w:cs="Arial"/>
                <w:b/>
              </w:rPr>
            </w:pPr>
            <w:r w:rsidRPr="00882976">
              <w:rPr>
                <w:rFonts w:cs="Arial"/>
                <w:b/>
              </w:rPr>
              <w:t>Total</w:t>
            </w:r>
          </w:p>
          <w:p w14:paraId="3CC99A90" w14:textId="77777777" w:rsidR="00AC67F1" w:rsidRPr="00882976" w:rsidRDefault="00AC67F1" w:rsidP="00AC67F1">
            <w:pPr>
              <w:tabs>
                <w:tab w:val="left" w:pos="567"/>
                <w:tab w:val="left" w:pos="1134"/>
              </w:tabs>
              <w:spacing w:after="0"/>
              <w:jc w:val="center"/>
              <w:rPr>
                <w:rFonts w:cs="Arial"/>
                <w:b/>
              </w:rPr>
            </w:pPr>
            <w:r w:rsidRPr="00882976">
              <w:rPr>
                <w:rFonts w:cs="Arial"/>
                <w:b/>
              </w:rPr>
              <w:t>£m</w:t>
            </w:r>
          </w:p>
        </w:tc>
      </w:tr>
      <w:tr w:rsidR="00B63BF2" w:rsidRPr="00882976" w14:paraId="07AD04C4" w14:textId="77777777" w:rsidTr="00AB0EBD">
        <w:trPr>
          <w:trHeight w:val="684"/>
          <w:jc w:val="center"/>
        </w:trPr>
        <w:tc>
          <w:tcPr>
            <w:tcW w:w="0" w:type="auto"/>
            <w:vAlign w:val="center"/>
          </w:tcPr>
          <w:p w14:paraId="0B7CB77B" w14:textId="27694BA8" w:rsidR="00B63BF2" w:rsidRPr="00882976" w:rsidRDefault="005D7E94" w:rsidP="00B63BF2">
            <w:pPr>
              <w:tabs>
                <w:tab w:val="left" w:pos="567"/>
                <w:tab w:val="left" w:pos="1134"/>
              </w:tabs>
              <w:spacing w:after="0"/>
              <w:jc w:val="left"/>
              <w:rPr>
                <w:rFonts w:cs="Arial"/>
              </w:rPr>
            </w:pPr>
            <w:r w:rsidRPr="00882976">
              <w:rPr>
                <w:rFonts w:cs="Arial"/>
                <w:b/>
              </w:rPr>
              <w:t>Demand – previous MTFS</w:t>
            </w:r>
          </w:p>
        </w:tc>
        <w:tc>
          <w:tcPr>
            <w:tcW w:w="0" w:type="auto"/>
            <w:vAlign w:val="center"/>
          </w:tcPr>
          <w:p w14:paraId="4A9792F8" w14:textId="36B477AA" w:rsidR="00B63BF2" w:rsidRPr="00882976" w:rsidRDefault="00B63BF2" w:rsidP="00B63BF2">
            <w:pPr>
              <w:tabs>
                <w:tab w:val="left" w:pos="567"/>
                <w:tab w:val="left" w:pos="1134"/>
              </w:tabs>
              <w:spacing w:after="0"/>
              <w:jc w:val="center"/>
              <w:rPr>
                <w:rFonts w:cs="Arial"/>
              </w:rPr>
            </w:pPr>
            <w:r w:rsidRPr="00882976">
              <w:rPr>
                <w:rFonts w:cs="Arial"/>
              </w:rPr>
              <w:t>29.981</w:t>
            </w:r>
          </w:p>
        </w:tc>
        <w:tc>
          <w:tcPr>
            <w:tcW w:w="0" w:type="auto"/>
            <w:vAlign w:val="center"/>
          </w:tcPr>
          <w:p w14:paraId="33EE1128" w14:textId="208C99A7" w:rsidR="00B63BF2" w:rsidRPr="00882976" w:rsidRDefault="00B63BF2" w:rsidP="00B63BF2">
            <w:pPr>
              <w:tabs>
                <w:tab w:val="left" w:pos="567"/>
                <w:tab w:val="left" w:pos="1134"/>
              </w:tabs>
              <w:spacing w:after="0"/>
              <w:jc w:val="center"/>
              <w:rPr>
                <w:rFonts w:cs="Arial"/>
              </w:rPr>
            </w:pPr>
            <w:r w:rsidRPr="00882976">
              <w:rPr>
                <w:rFonts w:cs="Arial"/>
              </w:rPr>
              <w:t>15.448</w:t>
            </w:r>
          </w:p>
        </w:tc>
        <w:tc>
          <w:tcPr>
            <w:tcW w:w="0" w:type="auto"/>
            <w:vAlign w:val="center"/>
          </w:tcPr>
          <w:p w14:paraId="4F14F5EF" w14:textId="176AE5B2" w:rsidR="00B63BF2" w:rsidRPr="00882976" w:rsidRDefault="00B63BF2" w:rsidP="00B63BF2">
            <w:pPr>
              <w:tabs>
                <w:tab w:val="left" w:pos="567"/>
                <w:tab w:val="left" w:pos="1134"/>
              </w:tabs>
              <w:spacing w:after="0"/>
              <w:jc w:val="center"/>
              <w:rPr>
                <w:rFonts w:cs="Arial"/>
              </w:rPr>
            </w:pPr>
            <w:r w:rsidRPr="00882976">
              <w:rPr>
                <w:rFonts w:cs="Arial"/>
              </w:rPr>
              <w:t>18.498</w:t>
            </w:r>
          </w:p>
        </w:tc>
        <w:tc>
          <w:tcPr>
            <w:tcW w:w="0" w:type="auto"/>
            <w:vAlign w:val="center"/>
          </w:tcPr>
          <w:p w14:paraId="722BB9D2" w14:textId="7DF471D4" w:rsidR="00B63BF2" w:rsidRPr="00882976" w:rsidRDefault="00B63BF2" w:rsidP="00B63BF2">
            <w:pPr>
              <w:tabs>
                <w:tab w:val="left" w:pos="567"/>
                <w:tab w:val="left" w:pos="1134"/>
              </w:tabs>
              <w:spacing w:after="0"/>
              <w:jc w:val="center"/>
              <w:rPr>
                <w:rFonts w:cs="Arial"/>
              </w:rPr>
            </w:pPr>
            <w:r w:rsidRPr="00882976">
              <w:rPr>
                <w:rFonts w:cs="Arial"/>
              </w:rPr>
              <w:t>21.214</w:t>
            </w:r>
          </w:p>
        </w:tc>
        <w:tc>
          <w:tcPr>
            <w:tcW w:w="1145" w:type="dxa"/>
            <w:vAlign w:val="center"/>
          </w:tcPr>
          <w:p w14:paraId="1284B1FD" w14:textId="48331FA5" w:rsidR="00B63BF2" w:rsidRPr="00882976" w:rsidRDefault="00B63BF2" w:rsidP="00B63BF2">
            <w:pPr>
              <w:tabs>
                <w:tab w:val="left" w:pos="567"/>
                <w:tab w:val="left" w:pos="1134"/>
              </w:tabs>
              <w:spacing w:after="0"/>
              <w:jc w:val="center"/>
              <w:rPr>
                <w:rFonts w:cs="Arial"/>
                <w:b/>
              </w:rPr>
            </w:pPr>
            <w:r w:rsidRPr="00882976">
              <w:rPr>
                <w:rFonts w:cs="Arial"/>
                <w:b/>
              </w:rPr>
              <w:t>85.141</w:t>
            </w:r>
          </w:p>
        </w:tc>
      </w:tr>
      <w:tr w:rsidR="00AC67F1" w:rsidRPr="00882976" w14:paraId="07C82381" w14:textId="77777777" w:rsidTr="00AB0EBD">
        <w:trPr>
          <w:trHeight w:val="401"/>
          <w:jc w:val="center"/>
        </w:trPr>
        <w:tc>
          <w:tcPr>
            <w:tcW w:w="0" w:type="auto"/>
            <w:vAlign w:val="center"/>
          </w:tcPr>
          <w:p w14:paraId="139C7C1E" w14:textId="77777777" w:rsidR="00AC67F1" w:rsidRPr="00882976" w:rsidRDefault="00AC67F1" w:rsidP="00AC67F1">
            <w:pPr>
              <w:tabs>
                <w:tab w:val="left" w:pos="567"/>
                <w:tab w:val="left" w:pos="1134"/>
              </w:tabs>
              <w:spacing w:after="0"/>
              <w:jc w:val="left"/>
              <w:rPr>
                <w:rFonts w:cs="Arial"/>
              </w:rPr>
            </w:pPr>
          </w:p>
        </w:tc>
        <w:tc>
          <w:tcPr>
            <w:tcW w:w="0" w:type="auto"/>
            <w:vAlign w:val="center"/>
          </w:tcPr>
          <w:p w14:paraId="7552451D" w14:textId="77777777" w:rsidR="00AC67F1" w:rsidRPr="00882976" w:rsidRDefault="00AC67F1" w:rsidP="00AC67F1">
            <w:pPr>
              <w:tabs>
                <w:tab w:val="left" w:pos="567"/>
                <w:tab w:val="left" w:pos="1134"/>
              </w:tabs>
              <w:spacing w:after="0"/>
              <w:jc w:val="center"/>
              <w:rPr>
                <w:rFonts w:cs="Arial"/>
              </w:rPr>
            </w:pPr>
          </w:p>
        </w:tc>
        <w:tc>
          <w:tcPr>
            <w:tcW w:w="0" w:type="auto"/>
            <w:vAlign w:val="center"/>
          </w:tcPr>
          <w:p w14:paraId="70326EE8" w14:textId="77777777" w:rsidR="00AC67F1" w:rsidRPr="00882976" w:rsidRDefault="00AC67F1" w:rsidP="00AC67F1">
            <w:pPr>
              <w:tabs>
                <w:tab w:val="left" w:pos="567"/>
                <w:tab w:val="left" w:pos="1134"/>
              </w:tabs>
              <w:spacing w:after="0"/>
              <w:jc w:val="center"/>
              <w:rPr>
                <w:rFonts w:cs="Arial"/>
              </w:rPr>
            </w:pPr>
          </w:p>
        </w:tc>
        <w:tc>
          <w:tcPr>
            <w:tcW w:w="0" w:type="auto"/>
            <w:vAlign w:val="center"/>
          </w:tcPr>
          <w:p w14:paraId="59D5A068" w14:textId="77777777" w:rsidR="00AC67F1" w:rsidRPr="00882976" w:rsidRDefault="00AC67F1" w:rsidP="00AC67F1">
            <w:pPr>
              <w:tabs>
                <w:tab w:val="left" w:pos="567"/>
                <w:tab w:val="left" w:pos="1134"/>
              </w:tabs>
              <w:spacing w:after="0"/>
              <w:jc w:val="center"/>
              <w:rPr>
                <w:rFonts w:cs="Arial"/>
              </w:rPr>
            </w:pPr>
          </w:p>
        </w:tc>
        <w:tc>
          <w:tcPr>
            <w:tcW w:w="0" w:type="auto"/>
            <w:vAlign w:val="center"/>
          </w:tcPr>
          <w:p w14:paraId="7377A5CC" w14:textId="77777777" w:rsidR="00AC67F1" w:rsidRPr="00882976" w:rsidRDefault="00AC67F1" w:rsidP="00AC67F1">
            <w:pPr>
              <w:tabs>
                <w:tab w:val="left" w:pos="567"/>
                <w:tab w:val="left" w:pos="1134"/>
              </w:tabs>
              <w:spacing w:after="0"/>
              <w:jc w:val="center"/>
              <w:rPr>
                <w:rFonts w:cs="Arial"/>
              </w:rPr>
            </w:pPr>
          </w:p>
        </w:tc>
        <w:tc>
          <w:tcPr>
            <w:tcW w:w="1145" w:type="dxa"/>
            <w:vAlign w:val="center"/>
          </w:tcPr>
          <w:p w14:paraId="50207227" w14:textId="77777777" w:rsidR="00AC67F1" w:rsidRPr="00882976" w:rsidRDefault="00AC67F1" w:rsidP="00AC67F1">
            <w:pPr>
              <w:tabs>
                <w:tab w:val="left" w:pos="567"/>
                <w:tab w:val="left" w:pos="1134"/>
              </w:tabs>
              <w:spacing w:after="0"/>
              <w:jc w:val="center"/>
              <w:rPr>
                <w:rFonts w:cs="Arial"/>
                <w:b/>
              </w:rPr>
            </w:pPr>
          </w:p>
        </w:tc>
      </w:tr>
      <w:tr w:rsidR="00AC67F1" w:rsidRPr="00882976" w14:paraId="631EA3E1" w14:textId="77777777" w:rsidTr="00AB0EBD">
        <w:trPr>
          <w:trHeight w:val="684"/>
          <w:jc w:val="center"/>
        </w:trPr>
        <w:tc>
          <w:tcPr>
            <w:tcW w:w="0" w:type="auto"/>
            <w:vAlign w:val="center"/>
          </w:tcPr>
          <w:p w14:paraId="2406BD78" w14:textId="3E4CF31D" w:rsidR="00AC67F1" w:rsidRPr="00882976" w:rsidRDefault="00AC67F1" w:rsidP="00AC67F1">
            <w:pPr>
              <w:tabs>
                <w:tab w:val="left" w:pos="567"/>
                <w:tab w:val="left" w:pos="1134"/>
              </w:tabs>
              <w:spacing w:after="0"/>
              <w:jc w:val="left"/>
              <w:rPr>
                <w:rFonts w:cs="Arial"/>
              </w:rPr>
            </w:pPr>
            <w:r w:rsidRPr="00882976">
              <w:rPr>
                <w:rFonts w:cs="Arial"/>
              </w:rPr>
              <w:t>Revised Demand Requirements</w:t>
            </w:r>
          </w:p>
        </w:tc>
        <w:tc>
          <w:tcPr>
            <w:tcW w:w="0" w:type="auto"/>
            <w:vAlign w:val="center"/>
          </w:tcPr>
          <w:p w14:paraId="319F6183" w14:textId="2F825051" w:rsidR="00AC67F1" w:rsidRPr="00882976" w:rsidRDefault="00C37DF8" w:rsidP="00AC67F1">
            <w:pPr>
              <w:tabs>
                <w:tab w:val="left" w:pos="567"/>
                <w:tab w:val="left" w:pos="1134"/>
              </w:tabs>
              <w:spacing w:after="0"/>
              <w:jc w:val="center"/>
              <w:rPr>
                <w:rFonts w:cs="Arial"/>
              </w:rPr>
            </w:pPr>
            <w:r w:rsidRPr="00882976">
              <w:rPr>
                <w:rFonts w:cs="Arial"/>
              </w:rPr>
              <w:t>37.882</w:t>
            </w:r>
          </w:p>
        </w:tc>
        <w:tc>
          <w:tcPr>
            <w:tcW w:w="0" w:type="auto"/>
            <w:vAlign w:val="center"/>
          </w:tcPr>
          <w:p w14:paraId="4A6CABEA" w14:textId="570EE9EE" w:rsidR="00AC67F1" w:rsidRPr="00882976" w:rsidRDefault="00C37DF8" w:rsidP="0059655B">
            <w:pPr>
              <w:tabs>
                <w:tab w:val="left" w:pos="567"/>
                <w:tab w:val="left" w:pos="1134"/>
              </w:tabs>
              <w:spacing w:after="0"/>
              <w:jc w:val="center"/>
              <w:rPr>
                <w:rFonts w:cs="Arial"/>
              </w:rPr>
            </w:pPr>
            <w:r w:rsidRPr="00882976">
              <w:rPr>
                <w:rFonts w:cs="Arial"/>
              </w:rPr>
              <w:t>15.180</w:t>
            </w:r>
          </w:p>
        </w:tc>
        <w:tc>
          <w:tcPr>
            <w:tcW w:w="0" w:type="auto"/>
            <w:vAlign w:val="center"/>
          </w:tcPr>
          <w:p w14:paraId="460C1B3B" w14:textId="66D5D4EE" w:rsidR="00AC67F1" w:rsidRPr="00882976" w:rsidRDefault="00C37DF8" w:rsidP="00AC67F1">
            <w:pPr>
              <w:tabs>
                <w:tab w:val="left" w:pos="567"/>
                <w:tab w:val="left" w:pos="1134"/>
              </w:tabs>
              <w:spacing w:after="0"/>
              <w:jc w:val="center"/>
              <w:rPr>
                <w:rFonts w:cs="Arial"/>
              </w:rPr>
            </w:pPr>
            <w:r w:rsidRPr="00882976">
              <w:rPr>
                <w:rFonts w:cs="Arial"/>
              </w:rPr>
              <w:t>18.068</w:t>
            </w:r>
          </w:p>
        </w:tc>
        <w:tc>
          <w:tcPr>
            <w:tcW w:w="0" w:type="auto"/>
            <w:vAlign w:val="center"/>
          </w:tcPr>
          <w:p w14:paraId="597D7D80" w14:textId="7AA016A3" w:rsidR="00AC67F1" w:rsidRPr="00882976" w:rsidRDefault="00C37DF8" w:rsidP="00AC67F1">
            <w:pPr>
              <w:tabs>
                <w:tab w:val="left" w:pos="567"/>
                <w:tab w:val="left" w:pos="1134"/>
              </w:tabs>
              <w:spacing w:after="0"/>
              <w:jc w:val="center"/>
              <w:rPr>
                <w:rFonts w:cs="Arial"/>
              </w:rPr>
            </w:pPr>
            <w:r w:rsidRPr="00882976">
              <w:rPr>
                <w:rFonts w:cs="Arial"/>
              </w:rPr>
              <w:t>21.126</w:t>
            </w:r>
          </w:p>
        </w:tc>
        <w:tc>
          <w:tcPr>
            <w:tcW w:w="1145" w:type="dxa"/>
            <w:vAlign w:val="center"/>
          </w:tcPr>
          <w:p w14:paraId="3E4473E3" w14:textId="658E13BD" w:rsidR="00AC67F1" w:rsidRPr="00882976" w:rsidRDefault="00C37DF8" w:rsidP="0059655B">
            <w:pPr>
              <w:tabs>
                <w:tab w:val="left" w:pos="567"/>
                <w:tab w:val="left" w:pos="1134"/>
              </w:tabs>
              <w:spacing w:after="0"/>
              <w:jc w:val="center"/>
              <w:rPr>
                <w:rFonts w:cs="Arial"/>
                <w:b/>
              </w:rPr>
            </w:pPr>
            <w:r w:rsidRPr="00882976">
              <w:rPr>
                <w:rFonts w:cs="Arial"/>
                <w:b/>
              </w:rPr>
              <w:t>92.257</w:t>
            </w:r>
          </w:p>
        </w:tc>
      </w:tr>
      <w:tr w:rsidR="00AC67F1" w:rsidRPr="00882976" w14:paraId="0699498C" w14:textId="77777777" w:rsidTr="00AB0EBD">
        <w:trPr>
          <w:trHeight w:val="431"/>
          <w:jc w:val="center"/>
        </w:trPr>
        <w:tc>
          <w:tcPr>
            <w:tcW w:w="0" w:type="auto"/>
            <w:vAlign w:val="center"/>
          </w:tcPr>
          <w:p w14:paraId="2981D577" w14:textId="77777777" w:rsidR="00AC67F1" w:rsidRPr="00882976" w:rsidRDefault="00AC67F1" w:rsidP="00AC67F1">
            <w:pPr>
              <w:tabs>
                <w:tab w:val="left" w:pos="567"/>
                <w:tab w:val="left" w:pos="1134"/>
              </w:tabs>
              <w:spacing w:after="0"/>
              <w:jc w:val="left"/>
              <w:rPr>
                <w:rFonts w:cs="Arial"/>
              </w:rPr>
            </w:pPr>
          </w:p>
        </w:tc>
        <w:tc>
          <w:tcPr>
            <w:tcW w:w="0" w:type="auto"/>
            <w:vAlign w:val="center"/>
          </w:tcPr>
          <w:p w14:paraId="74E71131" w14:textId="77777777" w:rsidR="00AC67F1" w:rsidRPr="00882976" w:rsidRDefault="00AC67F1" w:rsidP="00AC67F1">
            <w:pPr>
              <w:tabs>
                <w:tab w:val="left" w:pos="567"/>
                <w:tab w:val="left" w:pos="1134"/>
              </w:tabs>
              <w:spacing w:after="0"/>
              <w:jc w:val="center"/>
              <w:rPr>
                <w:rFonts w:cs="Arial"/>
              </w:rPr>
            </w:pPr>
          </w:p>
        </w:tc>
        <w:tc>
          <w:tcPr>
            <w:tcW w:w="0" w:type="auto"/>
            <w:vAlign w:val="center"/>
          </w:tcPr>
          <w:p w14:paraId="5F8B7245" w14:textId="77777777" w:rsidR="00AC67F1" w:rsidRPr="00882976" w:rsidRDefault="00AC67F1" w:rsidP="00AC67F1">
            <w:pPr>
              <w:tabs>
                <w:tab w:val="left" w:pos="567"/>
                <w:tab w:val="left" w:pos="1134"/>
              </w:tabs>
              <w:spacing w:after="0"/>
              <w:jc w:val="center"/>
              <w:rPr>
                <w:rFonts w:cs="Arial"/>
              </w:rPr>
            </w:pPr>
          </w:p>
        </w:tc>
        <w:tc>
          <w:tcPr>
            <w:tcW w:w="0" w:type="auto"/>
            <w:vAlign w:val="center"/>
          </w:tcPr>
          <w:p w14:paraId="03ABA972" w14:textId="77777777" w:rsidR="00AC67F1" w:rsidRPr="00882976" w:rsidRDefault="00AC67F1" w:rsidP="00AC67F1">
            <w:pPr>
              <w:tabs>
                <w:tab w:val="left" w:pos="567"/>
                <w:tab w:val="left" w:pos="1134"/>
              </w:tabs>
              <w:spacing w:after="0"/>
              <w:jc w:val="center"/>
              <w:rPr>
                <w:rFonts w:cs="Arial"/>
              </w:rPr>
            </w:pPr>
          </w:p>
        </w:tc>
        <w:tc>
          <w:tcPr>
            <w:tcW w:w="0" w:type="auto"/>
            <w:vAlign w:val="center"/>
          </w:tcPr>
          <w:p w14:paraId="6B902EDD" w14:textId="77777777" w:rsidR="00AC67F1" w:rsidRPr="00882976" w:rsidRDefault="00AC67F1" w:rsidP="00AC67F1">
            <w:pPr>
              <w:tabs>
                <w:tab w:val="left" w:pos="567"/>
                <w:tab w:val="left" w:pos="1134"/>
              </w:tabs>
              <w:spacing w:after="0"/>
              <w:jc w:val="center"/>
              <w:rPr>
                <w:rFonts w:cs="Arial"/>
              </w:rPr>
            </w:pPr>
          </w:p>
        </w:tc>
        <w:tc>
          <w:tcPr>
            <w:tcW w:w="1145" w:type="dxa"/>
            <w:vAlign w:val="center"/>
          </w:tcPr>
          <w:p w14:paraId="1562B3D2" w14:textId="77777777" w:rsidR="00AC67F1" w:rsidRPr="00882976" w:rsidRDefault="00AC67F1" w:rsidP="00AC67F1">
            <w:pPr>
              <w:tabs>
                <w:tab w:val="left" w:pos="567"/>
                <w:tab w:val="left" w:pos="1134"/>
              </w:tabs>
              <w:spacing w:after="0"/>
              <w:jc w:val="center"/>
              <w:rPr>
                <w:rFonts w:cs="Arial"/>
                <w:b/>
              </w:rPr>
            </w:pPr>
          </w:p>
        </w:tc>
      </w:tr>
      <w:tr w:rsidR="00AC67F1" w:rsidRPr="00882976" w14:paraId="13C92C1C" w14:textId="77777777" w:rsidTr="00AB0EBD">
        <w:trPr>
          <w:trHeight w:val="684"/>
          <w:jc w:val="center"/>
        </w:trPr>
        <w:tc>
          <w:tcPr>
            <w:tcW w:w="0" w:type="auto"/>
            <w:vAlign w:val="center"/>
          </w:tcPr>
          <w:p w14:paraId="41A7338F" w14:textId="77777777" w:rsidR="00AC67F1" w:rsidRPr="00882976" w:rsidRDefault="00AC67F1" w:rsidP="00AC67F1">
            <w:pPr>
              <w:tabs>
                <w:tab w:val="left" w:pos="567"/>
                <w:tab w:val="left" w:pos="1134"/>
              </w:tabs>
              <w:spacing w:after="0"/>
              <w:jc w:val="left"/>
              <w:rPr>
                <w:rFonts w:cs="Arial"/>
                <w:b/>
              </w:rPr>
            </w:pPr>
            <w:r w:rsidRPr="00882976">
              <w:rPr>
                <w:rFonts w:cs="Arial"/>
                <w:b/>
              </w:rPr>
              <w:t>Impact on Financial Gap</w:t>
            </w:r>
          </w:p>
        </w:tc>
        <w:tc>
          <w:tcPr>
            <w:tcW w:w="0" w:type="auto"/>
            <w:vAlign w:val="center"/>
          </w:tcPr>
          <w:p w14:paraId="4671DB87" w14:textId="68300D9F" w:rsidR="00AC67F1" w:rsidRPr="00882976" w:rsidRDefault="00C37DF8" w:rsidP="00AC67F1">
            <w:pPr>
              <w:tabs>
                <w:tab w:val="left" w:pos="567"/>
                <w:tab w:val="left" w:pos="1134"/>
              </w:tabs>
              <w:spacing w:after="0"/>
              <w:jc w:val="center"/>
              <w:rPr>
                <w:rFonts w:cs="Arial"/>
                <w:b/>
              </w:rPr>
            </w:pPr>
            <w:r w:rsidRPr="00882976">
              <w:rPr>
                <w:rFonts w:cs="Arial"/>
                <w:b/>
              </w:rPr>
              <w:t>7.901</w:t>
            </w:r>
          </w:p>
        </w:tc>
        <w:tc>
          <w:tcPr>
            <w:tcW w:w="0" w:type="auto"/>
            <w:vAlign w:val="center"/>
          </w:tcPr>
          <w:p w14:paraId="18FF9712" w14:textId="64890754" w:rsidR="00AC67F1" w:rsidRPr="00882976" w:rsidRDefault="00C37DF8" w:rsidP="0059655B">
            <w:pPr>
              <w:tabs>
                <w:tab w:val="left" w:pos="567"/>
                <w:tab w:val="left" w:pos="1134"/>
              </w:tabs>
              <w:spacing w:after="0"/>
              <w:jc w:val="center"/>
              <w:rPr>
                <w:rFonts w:cs="Arial"/>
                <w:b/>
              </w:rPr>
            </w:pPr>
            <w:r w:rsidRPr="00882976">
              <w:rPr>
                <w:rFonts w:cs="Arial"/>
                <w:b/>
              </w:rPr>
              <w:t>-0.268</w:t>
            </w:r>
          </w:p>
        </w:tc>
        <w:tc>
          <w:tcPr>
            <w:tcW w:w="0" w:type="auto"/>
            <w:vAlign w:val="center"/>
          </w:tcPr>
          <w:p w14:paraId="20535CE4" w14:textId="113A4FE0" w:rsidR="00AC67F1" w:rsidRPr="00882976" w:rsidRDefault="00C37DF8" w:rsidP="00AC67F1">
            <w:pPr>
              <w:tabs>
                <w:tab w:val="left" w:pos="567"/>
                <w:tab w:val="left" w:pos="1134"/>
              </w:tabs>
              <w:spacing w:after="0"/>
              <w:jc w:val="center"/>
              <w:rPr>
                <w:rFonts w:cs="Arial"/>
                <w:b/>
              </w:rPr>
            </w:pPr>
            <w:r w:rsidRPr="00882976">
              <w:rPr>
                <w:rFonts w:cs="Arial"/>
                <w:b/>
              </w:rPr>
              <w:t>-0.430</w:t>
            </w:r>
          </w:p>
        </w:tc>
        <w:tc>
          <w:tcPr>
            <w:tcW w:w="0" w:type="auto"/>
            <w:vAlign w:val="center"/>
          </w:tcPr>
          <w:p w14:paraId="391F5804" w14:textId="5CB0BD8E" w:rsidR="00AC67F1" w:rsidRPr="00882976" w:rsidRDefault="00C37DF8" w:rsidP="00AC67F1">
            <w:pPr>
              <w:tabs>
                <w:tab w:val="left" w:pos="567"/>
                <w:tab w:val="left" w:pos="1134"/>
              </w:tabs>
              <w:spacing w:after="0"/>
              <w:jc w:val="center"/>
              <w:rPr>
                <w:rFonts w:cs="Arial"/>
                <w:b/>
              </w:rPr>
            </w:pPr>
            <w:r w:rsidRPr="00882976">
              <w:rPr>
                <w:rFonts w:cs="Arial"/>
                <w:b/>
              </w:rPr>
              <w:t>-0.088</w:t>
            </w:r>
          </w:p>
        </w:tc>
        <w:tc>
          <w:tcPr>
            <w:tcW w:w="1145" w:type="dxa"/>
            <w:vAlign w:val="center"/>
          </w:tcPr>
          <w:p w14:paraId="02806C58" w14:textId="50D299EF" w:rsidR="00AC67F1" w:rsidRPr="00882976" w:rsidRDefault="00C37DF8" w:rsidP="00F10592">
            <w:pPr>
              <w:tabs>
                <w:tab w:val="left" w:pos="567"/>
                <w:tab w:val="left" w:pos="1134"/>
              </w:tabs>
              <w:spacing w:after="0"/>
              <w:jc w:val="center"/>
              <w:rPr>
                <w:rFonts w:cs="Arial"/>
                <w:b/>
              </w:rPr>
            </w:pPr>
            <w:r w:rsidRPr="00882976">
              <w:rPr>
                <w:rFonts w:cs="Arial"/>
                <w:b/>
              </w:rPr>
              <w:t>7.115</w:t>
            </w:r>
          </w:p>
        </w:tc>
      </w:tr>
    </w:tbl>
    <w:p w14:paraId="4B51672F" w14:textId="77777777" w:rsidR="00F53647" w:rsidRPr="00882976" w:rsidRDefault="00F53647" w:rsidP="00F53647">
      <w:pPr>
        <w:tabs>
          <w:tab w:val="left" w:pos="567"/>
          <w:tab w:val="left" w:pos="1134"/>
        </w:tabs>
        <w:spacing w:after="0"/>
        <w:rPr>
          <w:rFonts w:cs="Arial"/>
        </w:rPr>
      </w:pPr>
    </w:p>
    <w:p w14:paraId="0CF061E6" w14:textId="264CF1CD" w:rsidR="00F53647" w:rsidRPr="00882976" w:rsidRDefault="009A71EE" w:rsidP="000C0795">
      <w:pPr>
        <w:spacing w:after="0"/>
        <w:rPr>
          <w:rFonts w:cs="Arial"/>
        </w:rPr>
      </w:pPr>
      <w:r w:rsidRPr="00882976">
        <w:rPr>
          <w:rFonts w:cs="Arial"/>
        </w:rPr>
        <w:t>A</w:t>
      </w:r>
      <w:r w:rsidR="00F53647" w:rsidRPr="00882976">
        <w:rPr>
          <w:rFonts w:cs="Arial"/>
        </w:rPr>
        <w:t xml:space="preserve">dult </w:t>
      </w:r>
      <w:r w:rsidRPr="00882976">
        <w:rPr>
          <w:rFonts w:cs="Arial"/>
        </w:rPr>
        <w:t>S</w:t>
      </w:r>
      <w:r w:rsidR="00F53647" w:rsidRPr="00882976">
        <w:rPr>
          <w:rFonts w:cs="Arial"/>
        </w:rPr>
        <w:t xml:space="preserve">ocial </w:t>
      </w:r>
      <w:r w:rsidRPr="00882976">
        <w:rPr>
          <w:rFonts w:cs="Arial"/>
        </w:rPr>
        <w:t>C</w:t>
      </w:r>
      <w:r w:rsidR="00F53647" w:rsidRPr="00882976">
        <w:rPr>
          <w:rFonts w:cs="Arial"/>
        </w:rPr>
        <w:t xml:space="preserve">are represents </w:t>
      </w:r>
      <w:r w:rsidR="0000699F" w:rsidRPr="00882976">
        <w:rPr>
          <w:rFonts w:cs="Arial"/>
        </w:rPr>
        <w:t xml:space="preserve">a large proportion of </w:t>
      </w:r>
      <w:r w:rsidR="00F53647" w:rsidRPr="00882976">
        <w:rPr>
          <w:rFonts w:cs="Arial"/>
        </w:rPr>
        <w:t>the demand</w:t>
      </w:r>
      <w:r w:rsidR="00F53647" w:rsidRPr="00882976">
        <w:rPr>
          <w:rFonts w:cs="Arial"/>
          <w:b/>
        </w:rPr>
        <w:t xml:space="preserve"> </w:t>
      </w:r>
      <w:r w:rsidR="00F53647" w:rsidRPr="00882976">
        <w:rPr>
          <w:rFonts w:cs="Arial"/>
        </w:rPr>
        <w:t>pressures.</w:t>
      </w:r>
      <w:r w:rsidR="00F53647" w:rsidRPr="00882976">
        <w:rPr>
          <w:rFonts w:cs="Arial"/>
          <w:b/>
        </w:rPr>
        <w:t xml:space="preserve">  </w:t>
      </w:r>
      <w:r w:rsidR="00F53647" w:rsidRPr="00882976">
        <w:rPr>
          <w:rFonts w:cs="Arial"/>
        </w:rPr>
        <w:t xml:space="preserve">Adult </w:t>
      </w:r>
      <w:r w:rsidRPr="00882976">
        <w:rPr>
          <w:rFonts w:cs="Arial"/>
        </w:rPr>
        <w:t>S</w:t>
      </w:r>
      <w:r w:rsidR="00F53647" w:rsidRPr="00882976">
        <w:rPr>
          <w:rFonts w:cs="Arial"/>
        </w:rPr>
        <w:t xml:space="preserve">ocial </w:t>
      </w:r>
      <w:r w:rsidRPr="00882976">
        <w:rPr>
          <w:rFonts w:cs="Arial"/>
        </w:rPr>
        <w:t>C</w:t>
      </w:r>
      <w:r w:rsidR="00F53647" w:rsidRPr="00882976">
        <w:rPr>
          <w:rFonts w:cs="Arial"/>
        </w:rPr>
        <w:t xml:space="preserve">are has long seen annual increases in the demand for services and the MTFS attempts to predict growth in future years largely based on </w:t>
      </w:r>
      <w:r w:rsidR="001422F8" w:rsidRPr="00882976">
        <w:rPr>
          <w:rFonts w:cs="Arial"/>
        </w:rPr>
        <w:t xml:space="preserve">reviewing current and </w:t>
      </w:r>
      <w:r w:rsidR="00F53647" w:rsidRPr="00882976">
        <w:rPr>
          <w:rFonts w:cs="Arial"/>
        </w:rPr>
        <w:t>past activity trends but also taking into account future population changes.</w:t>
      </w:r>
    </w:p>
    <w:p w14:paraId="7CE876A3" w14:textId="77777777" w:rsidR="00F53647" w:rsidRPr="00882976" w:rsidRDefault="00F53647" w:rsidP="000C0795">
      <w:pPr>
        <w:spacing w:after="0"/>
        <w:rPr>
          <w:rFonts w:cs="Arial"/>
          <w:highlight w:val="yellow"/>
        </w:rPr>
      </w:pPr>
    </w:p>
    <w:p w14:paraId="7D1C535B" w14:textId="77777777" w:rsidR="00F53647" w:rsidRPr="00882976" w:rsidRDefault="00F53647" w:rsidP="000C0795">
      <w:pPr>
        <w:rPr>
          <w:rFonts w:cs="Arial"/>
        </w:rPr>
      </w:pPr>
      <w:r w:rsidRPr="00882976">
        <w:rPr>
          <w:rFonts w:cs="Arial"/>
        </w:rPr>
        <w:t>In deriving the estimated cost of demand the following projections have been used:</w:t>
      </w:r>
    </w:p>
    <w:p w14:paraId="40D903C9" w14:textId="61C92BE0" w:rsidR="007D249C" w:rsidRPr="00882976" w:rsidRDefault="00F53647" w:rsidP="007D249C">
      <w:pPr>
        <w:pStyle w:val="ListParagraph"/>
        <w:numPr>
          <w:ilvl w:val="0"/>
          <w:numId w:val="26"/>
        </w:numPr>
        <w:ind w:left="426" w:hanging="437"/>
        <w:rPr>
          <w:rFonts w:cs="Arial"/>
        </w:rPr>
      </w:pPr>
      <w:r w:rsidRPr="00882976">
        <w:rPr>
          <w:rFonts w:cs="Arial"/>
        </w:rPr>
        <w:t>Older People – population projections from the ONS for the aged over 85 population.</w:t>
      </w:r>
    </w:p>
    <w:p w14:paraId="70145A75" w14:textId="77777777" w:rsidR="005D7E94" w:rsidRPr="00882976" w:rsidRDefault="005D7E94" w:rsidP="005D7E94">
      <w:pPr>
        <w:pStyle w:val="ListParagraph"/>
        <w:ind w:left="426"/>
        <w:rPr>
          <w:rFonts w:cs="Arial"/>
        </w:rPr>
      </w:pPr>
    </w:p>
    <w:tbl>
      <w:tblPr>
        <w:tblW w:w="8266" w:type="dxa"/>
        <w:jc w:val="center"/>
        <w:tblLayout w:type="fixed"/>
        <w:tblLook w:val="04A0" w:firstRow="1" w:lastRow="0" w:firstColumn="1" w:lastColumn="0" w:noHBand="0" w:noVBand="1"/>
      </w:tblPr>
      <w:tblGrid>
        <w:gridCol w:w="2977"/>
        <w:gridCol w:w="1322"/>
        <w:gridCol w:w="1322"/>
        <w:gridCol w:w="1322"/>
        <w:gridCol w:w="1323"/>
      </w:tblGrid>
      <w:tr w:rsidR="0000699F" w:rsidRPr="00882976" w14:paraId="2D6FE979" w14:textId="77777777" w:rsidTr="00957B05">
        <w:trPr>
          <w:trHeight w:val="403"/>
          <w:jc w:val="center"/>
        </w:trPr>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B9CBF1" w14:textId="77777777" w:rsidR="0000699F" w:rsidRPr="00882976" w:rsidRDefault="0000699F" w:rsidP="005A1497">
            <w:pPr>
              <w:spacing w:after="0"/>
              <w:jc w:val="left"/>
              <w:rPr>
                <w:rFonts w:eastAsia="Times New Roman" w:cs="Arial"/>
                <w:b/>
                <w:lang w:eastAsia="en-GB"/>
              </w:rPr>
            </w:pPr>
          </w:p>
        </w:tc>
        <w:tc>
          <w:tcPr>
            <w:tcW w:w="13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9EF36B7" w14:textId="77777777" w:rsidR="0000699F" w:rsidRPr="00882976" w:rsidRDefault="0000699F" w:rsidP="005B6A8A">
            <w:pPr>
              <w:spacing w:after="0"/>
              <w:jc w:val="center"/>
              <w:rPr>
                <w:rFonts w:eastAsia="Times New Roman" w:cs="Arial"/>
                <w:b/>
                <w:lang w:eastAsia="en-GB"/>
              </w:rPr>
            </w:pPr>
            <w:r w:rsidRPr="00882976">
              <w:rPr>
                <w:rFonts w:eastAsia="Times New Roman" w:cs="Arial"/>
                <w:b/>
                <w:lang w:eastAsia="en-GB"/>
              </w:rPr>
              <w:t>2017/18</w:t>
            </w:r>
          </w:p>
        </w:tc>
        <w:tc>
          <w:tcPr>
            <w:tcW w:w="13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9130059" w14:textId="77777777" w:rsidR="0000699F" w:rsidRPr="00882976" w:rsidRDefault="0000699F" w:rsidP="005B6A8A">
            <w:pPr>
              <w:spacing w:after="0"/>
              <w:jc w:val="center"/>
              <w:rPr>
                <w:rFonts w:eastAsia="Times New Roman" w:cs="Arial"/>
                <w:b/>
                <w:lang w:eastAsia="en-GB"/>
              </w:rPr>
            </w:pPr>
            <w:r w:rsidRPr="00882976">
              <w:rPr>
                <w:rFonts w:eastAsia="Times New Roman" w:cs="Arial"/>
                <w:b/>
                <w:lang w:eastAsia="en-GB"/>
              </w:rPr>
              <w:t>2018/19</w:t>
            </w:r>
          </w:p>
        </w:tc>
        <w:tc>
          <w:tcPr>
            <w:tcW w:w="13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901161A" w14:textId="77777777" w:rsidR="0000699F" w:rsidRPr="00882976" w:rsidRDefault="0000699F" w:rsidP="005B6A8A">
            <w:pPr>
              <w:spacing w:after="0"/>
              <w:jc w:val="center"/>
              <w:rPr>
                <w:rFonts w:eastAsia="Times New Roman" w:cs="Arial"/>
                <w:b/>
                <w:lang w:eastAsia="en-GB"/>
              </w:rPr>
            </w:pPr>
            <w:r w:rsidRPr="00882976">
              <w:rPr>
                <w:rFonts w:eastAsia="Times New Roman" w:cs="Arial"/>
                <w:b/>
                <w:lang w:eastAsia="en-GB"/>
              </w:rPr>
              <w:t>2019/20</w:t>
            </w:r>
          </w:p>
        </w:tc>
        <w:tc>
          <w:tcPr>
            <w:tcW w:w="132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9B986AA" w14:textId="77777777" w:rsidR="0000699F" w:rsidRPr="00882976" w:rsidRDefault="0000699F" w:rsidP="005B6A8A">
            <w:pPr>
              <w:spacing w:after="0"/>
              <w:jc w:val="center"/>
              <w:rPr>
                <w:rFonts w:eastAsia="Times New Roman" w:cs="Arial"/>
                <w:b/>
                <w:lang w:eastAsia="en-GB"/>
              </w:rPr>
            </w:pPr>
            <w:r w:rsidRPr="00882976">
              <w:rPr>
                <w:rFonts w:eastAsia="Times New Roman" w:cs="Arial"/>
                <w:b/>
                <w:lang w:eastAsia="en-GB"/>
              </w:rPr>
              <w:t>2020/21</w:t>
            </w:r>
          </w:p>
        </w:tc>
      </w:tr>
      <w:tr w:rsidR="0000699F" w:rsidRPr="00882976" w14:paraId="086704B9" w14:textId="77777777" w:rsidTr="00957B05">
        <w:trPr>
          <w:trHeight w:val="532"/>
          <w:jc w:val="center"/>
        </w:trPr>
        <w:tc>
          <w:tcPr>
            <w:tcW w:w="2977" w:type="dxa"/>
            <w:tcBorders>
              <w:top w:val="nil"/>
              <w:left w:val="single" w:sz="4" w:space="0" w:color="auto"/>
              <w:bottom w:val="single" w:sz="4" w:space="0" w:color="auto"/>
              <w:right w:val="single" w:sz="4" w:space="0" w:color="auto"/>
            </w:tcBorders>
          </w:tcPr>
          <w:p w14:paraId="395C85E6" w14:textId="77777777" w:rsidR="0000699F" w:rsidRPr="00882976" w:rsidRDefault="0000699F" w:rsidP="000A4469">
            <w:pPr>
              <w:spacing w:after="0"/>
              <w:jc w:val="left"/>
              <w:rPr>
                <w:rFonts w:eastAsia="Times New Roman" w:cs="Arial"/>
                <w:lang w:eastAsia="en-GB"/>
              </w:rPr>
            </w:pPr>
            <w:r w:rsidRPr="00882976">
              <w:rPr>
                <w:rFonts w:eastAsia="Times New Roman" w:cs="Arial"/>
                <w:lang w:eastAsia="en-GB"/>
              </w:rPr>
              <w:t>Total Older People Population Projection Growth</w:t>
            </w:r>
          </w:p>
        </w:tc>
        <w:tc>
          <w:tcPr>
            <w:tcW w:w="1322" w:type="dxa"/>
            <w:tcBorders>
              <w:top w:val="nil"/>
              <w:left w:val="nil"/>
              <w:bottom w:val="single" w:sz="4" w:space="0" w:color="auto"/>
              <w:right w:val="single" w:sz="4" w:space="0" w:color="auto"/>
            </w:tcBorders>
            <w:shd w:val="clear" w:color="auto" w:fill="auto"/>
            <w:noWrap/>
            <w:vAlign w:val="center"/>
            <w:hideMark/>
          </w:tcPr>
          <w:p w14:paraId="11BAEA4D" w14:textId="45FCD816" w:rsidR="0000699F" w:rsidRPr="00882976" w:rsidRDefault="0000699F" w:rsidP="005B6A8A">
            <w:pPr>
              <w:spacing w:after="0"/>
              <w:jc w:val="center"/>
              <w:rPr>
                <w:rFonts w:eastAsia="Times New Roman" w:cs="Arial"/>
                <w:lang w:eastAsia="en-GB"/>
              </w:rPr>
            </w:pPr>
            <w:r w:rsidRPr="00882976">
              <w:rPr>
                <w:rFonts w:eastAsia="Times New Roman" w:cs="Arial"/>
                <w:lang w:eastAsia="en-GB"/>
              </w:rPr>
              <w:t>1.92%</w:t>
            </w:r>
          </w:p>
        </w:tc>
        <w:tc>
          <w:tcPr>
            <w:tcW w:w="1322" w:type="dxa"/>
            <w:tcBorders>
              <w:top w:val="nil"/>
              <w:left w:val="nil"/>
              <w:bottom w:val="single" w:sz="4" w:space="0" w:color="auto"/>
              <w:right w:val="single" w:sz="4" w:space="0" w:color="auto"/>
            </w:tcBorders>
            <w:shd w:val="clear" w:color="auto" w:fill="auto"/>
            <w:noWrap/>
            <w:vAlign w:val="center"/>
            <w:hideMark/>
          </w:tcPr>
          <w:p w14:paraId="4ABB46CB" w14:textId="1A5AFF03" w:rsidR="0000699F" w:rsidRPr="00882976" w:rsidRDefault="0000699F" w:rsidP="005B6A8A">
            <w:pPr>
              <w:spacing w:after="0"/>
              <w:jc w:val="center"/>
              <w:rPr>
                <w:rFonts w:eastAsia="Times New Roman" w:cs="Arial"/>
                <w:lang w:eastAsia="en-GB"/>
              </w:rPr>
            </w:pPr>
            <w:r w:rsidRPr="00882976">
              <w:rPr>
                <w:rFonts w:eastAsia="Times New Roman" w:cs="Arial"/>
                <w:lang w:eastAsia="en-GB"/>
              </w:rPr>
              <w:t>2.52%</w:t>
            </w:r>
          </w:p>
        </w:tc>
        <w:tc>
          <w:tcPr>
            <w:tcW w:w="1322" w:type="dxa"/>
            <w:tcBorders>
              <w:top w:val="nil"/>
              <w:left w:val="nil"/>
              <w:bottom w:val="single" w:sz="4" w:space="0" w:color="auto"/>
              <w:right w:val="single" w:sz="4" w:space="0" w:color="auto"/>
            </w:tcBorders>
            <w:shd w:val="clear" w:color="auto" w:fill="auto"/>
            <w:noWrap/>
            <w:vAlign w:val="center"/>
            <w:hideMark/>
          </w:tcPr>
          <w:p w14:paraId="0D97A3C7" w14:textId="076741A1" w:rsidR="0000699F" w:rsidRPr="00882976" w:rsidRDefault="0000699F" w:rsidP="005B6A8A">
            <w:pPr>
              <w:spacing w:after="0"/>
              <w:jc w:val="center"/>
              <w:rPr>
                <w:rFonts w:eastAsia="Times New Roman" w:cs="Arial"/>
                <w:lang w:eastAsia="en-GB"/>
              </w:rPr>
            </w:pPr>
            <w:r w:rsidRPr="00882976">
              <w:rPr>
                <w:rFonts w:eastAsia="Times New Roman" w:cs="Arial"/>
                <w:lang w:eastAsia="en-GB"/>
              </w:rPr>
              <w:t>3.07%</w:t>
            </w:r>
          </w:p>
        </w:tc>
        <w:tc>
          <w:tcPr>
            <w:tcW w:w="1323" w:type="dxa"/>
            <w:tcBorders>
              <w:top w:val="nil"/>
              <w:left w:val="nil"/>
              <w:bottom w:val="single" w:sz="4" w:space="0" w:color="auto"/>
              <w:right w:val="single" w:sz="4" w:space="0" w:color="auto"/>
            </w:tcBorders>
            <w:shd w:val="clear" w:color="auto" w:fill="auto"/>
            <w:noWrap/>
            <w:vAlign w:val="center"/>
            <w:hideMark/>
          </w:tcPr>
          <w:p w14:paraId="0D72CE75" w14:textId="7AF60E40" w:rsidR="0000699F" w:rsidRPr="00882976" w:rsidRDefault="0000699F" w:rsidP="0000699F">
            <w:pPr>
              <w:spacing w:after="0"/>
              <w:jc w:val="center"/>
              <w:rPr>
                <w:rFonts w:eastAsia="Times New Roman" w:cs="Arial"/>
                <w:lang w:eastAsia="en-GB"/>
              </w:rPr>
            </w:pPr>
            <w:r w:rsidRPr="00882976">
              <w:rPr>
                <w:rFonts w:eastAsia="Times New Roman" w:cs="Arial"/>
                <w:lang w:eastAsia="en-GB"/>
              </w:rPr>
              <w:t>3.57%</w:t>
            </w:r>
          </w:p>
        </w:tc>
      </w:tr>
    </w:tbl>
    <w:p w14:paraId="732CD2BE" w14:textId="3C6D83F8" w:rsidR="00F53647" w:rsidRPr="00882976" w:rsidRDefault="007D249C" w:rsidP="00F53647">
      <w:pPr>
        <w:rPr>
          <w:rFonts w:cs="Arial"/>
          <w:highlight w:val="yellow"/>
        </w:rPr>
      </w:pPr>
      <w:r w:rsidRPr="00882976">
        <w:rPr>
          <w:rFonts w:cs="Arial"/>
          <w:highlight w:val="yellow"/>
        </w:rPr>
        <w:t xml:space="preserve"> </w:t>
      </w:r>
    </w:p>
    <w:p w14:paraId="5395DF10" w14:textId="498B6522" w:rsidR="007D249C" w:rsidRPr="00882976" w:rsidRDefault="00AB0EBD" w:rsidP="007D249C">
      <w:pPr>
        <w:pStyle w:val="ListParagraph"/>
        <w:ind w:left="502"/>
        <w:rPr>
          <w:rFonts w:cs="Arial"/>
        </w:rPr>
      </w:pPr>
      <w:r w:rsidRPr="00882976">
        <w:rPr>
          <w:rFonts w:cs="Arial"/>
        </w:rPr>
        <w:t>The percentages presented above are those that were used within the p</w:t>
      </w:r>
      <w:r w:rsidR="007D249C" w:rsidRPr="00882976">
        <w:rPr>
          <w:rFonts w:cs="Arial"/>
        </w:rPr>
        <w:t>revious MTFS</w:t>
      </w:r>
      <w:r w:rsidRPr="00882976">
        <w:rPr>
          <w:rFonts w:cs="Arial"/>
        </w:rPr>
        <w:t>, and still reflect the best estimate of population increases and have therefore continued to be used within this MTFS</w:t>
      </w:r>
      <w:r w:rsidR="00943202" w:rsidRPr="00882976">
        <w:rPr>
          <w:rFonts w:cs="Arial"/>
        </w:rPr>
        <w:t xml:space="preserve">. </w:t>
      </w:r>
    </w:p>
    <w:p w14:paraId="6F3C2400" w14:textId="77777777" w:rsidR="007D249C" w:rsidRPr="00882976" w:rsidRDefault="007D249C" w:rsidP="007D249C">
      <w:pPr>
        <w:pStyle w:val="ListParagraph"/>
        <w:ind w:left="502"/>
        <w:rPr>
          <w:rFonts w:cs="Arial"/>
        </w:rPr>
      </w:pPr>
    </w:p>
    <w:p w14:paraId="7F5398D3" w14:textId="75C929F7" w:rsidR="00E2033F" w:rsidRPr="00882976" w:rsidRDefault="0000699F" w:rsidP="00E2033F">
      <w:pPr>
        <w:spacing w:after="0"/>
        <w:ind w:left="502"/>
        <w:rPr>
          <w:rFonts w:cs="Arial"/>
        </w:rPr>
      </w:pPr>
      <w:r w:rsidRPr="00882976">
        <w:rPr>
          <w:rFonts w:cs="Arial"/>
        </w:rPr>
        <w:t xml:space="preserve">All other demand assumptions contained within this revised MTFS </w:t>
      </w:r>
      <w:r w:rsidR="007D249C" w:rsidRPr="00882976">
        <w:rPr>
          <w:rFonts w:cs="Arial"/>
        </w:rPr>
        <w:t xml:space="preserve">regarding Adult Social Care </w:t>
      </w:r>
      <w:r w:rsidRPr="00882976">
        <w:rPr>
          <w:rFonts w:cs="Arial"/>
        </w:rPr>
        <w:t>have</w:t>
      </w:r>
      <w:r w:rsidR="005D7E94" w:rsidRPr="00882976">
        <w:rPr>
          <w:rFonts w:cs="Arial"/>
        </w:rPr>
        <w:t xml:space="preserve"> been</w:t>
      </w:r>
      <w:r w:rsidR="00AB0EBD" w:rsidRPr="00882976">
        <w:rPr>
          <w:rFonts w:cs="Arial"/>
        </w:rPr>
        <w:t xml:space="preserve"> reviewed based on the most up-to-date trend analysis and</w:t>
      </w:r>
      <w:r w:rsidR="005D7E94" w:rsidRPr="00882976">
        <w:rPr>
          <w:rFonts w:cs="Arial"/>
        </w:rPr>
        <w:t xml:space="preserve"> also incorporated budget </w:t>
      </w:r>
      <w:r w:rsidR="00777022" w:rsidRPr="00882976">
        <w:rPr>
          <w:rFonts w:cs="Arial"/>
        </w:rPr>
        <w:t>realignments</w:t>
      </w:r>
      <w:r w:rsidR="00F21D87">
        <w:rPr>
          <w:rFonts w:cs="Arial"/>
        </w:rPr>
        <w:t xml:space="preserve"> that are reflected within the revenue monitoring report</w:t>
      </w:r>
      <w:r w:rsidR="005D7E94" w:rsidRPr="00882976">
        <w:rPr>
          <w:rFonts w:cs="Arial"/>
        </w:rPr>
        <w:t>.</w:t>
      </w:r>
      <w:r w:rsidR="00AB0EBD" w:rsidRPr="00882976">
        <w:rPr>
          <w:rFonts w:cs="Arial"/>
        </w:rPr>
        <w:t xml:space="preserve"> The previous MTFS contained £59.105m additional budget requirement </w:t>
      </w:r>
      <w:r w:rsidR="005D7E94" w:rsidRPr="00882976">
        <w:rPr>
          <w:rFonts w:cs="Arial"/>
        </w:rPr>
        <w:t>for demand over</w:t>
      </w:r>
      <w:r w:rsidR="00AB0EBD" w:rsidRPr="00882976">
        <w:rPr>
          <w:rFonts w:cs="Arial"/>
        </w:rPr>
        <w:t xml:space="preserve"> the next four years, whereas this MTFS now contains £</w:t>
      </w:r>
      <w:r w:rsidR="005D7E94" w:rsidRPr="00882976">
        <w:rPr>
          <w:rFonts w:cs="Arial"/>
        </w:rPr>
        <w:t>5</w:t>
      </w:r>
      <w:r w:rsidR="00E5113F" w:rsidRPr="00882976">
        <w:rPr>
          <w:rFonts w:cs="Arial"/>
        </w:rPr>
        <w:t>6.493</w:t>
      </w:r>
      <w:r w:rsidR="00AB0EBD" w:rsidRPr="00882976">
        <w:rPr>
          <w:rFonts w:cs="Arial"/>
        </w:rPr>
        <w:t>m</w:t>
      </w:r>
      <w:r w:rsidRPr="00882976">
        <w:rPr>
          <w:rFonts w:cs="Arial"/>
        </w:rPr>
        <w:t>.</w:t>
      </w:r>
      <w:r w:rsidR="00E2033F" w:rsidRPr="00882976">
        <w:rPr>
          <w:rFonts w:cs="Arial"/>
        </w:rPr>
        <w:t xml:space="preserve"> </w:t>
      </w:r>
    </w:p>
    <w:p w14:paraId="315570FC" w14:textId="77777777" w:rsidR="00E2033F" w:rsidRPr="00882976" w:rsidRDefault="00E2033F" w:rsidP="00E2033F">
      <w:pPr>
        <w:pStyle w:val="ListParagraph"/>
        <w:spacing w:after="0"/>
        <w:rPr>
          <w:rFonts w:cs="Arial"/>
        </w:rPr>
      </w:pPr>
    </w:p>
    <w:p w14:paraId="264FBFF1" w14:textId="451AD475" w:rsidR="00E2033F" w:rsidRPr="00882976" w:rsidRDefault="00E2033F" w:rsidP="00E2033F">
      <w:pPr>
        <w:pStyle w:val="ListParagraph"/>
        <w:spacing w:after="0"/>
        <w:rPr>
          <w:rFonts w:cs="Arial"/>
        </w:rPr>
      </w:pPr>
      <w:r w:rsidRPr="00882976">
        <w:rPr>
          <w:rFonts w:cs="Arial"/>
        </w:rPr>
        <w:t>The demand included in the MTFS for Adults Service is profiled as follows:</w:t>
      </w:r>
    </w:p>
    <w:p w14:paraId="5C8343AF" w14:textId="41404D41" w:rsidR="00E2033F" w:rsidRPr="00882976" w:rsidRDefault="00E2033F" w:rsidP="00882976">
      <w:pPr>
        <w:pStyle w:val="ListParagraph"/>
        <w:numPr>
          <w:ilvl w:val="1"/>
          <w:numId w:val="29"/>
        </w:numPr>
        <w:spacing w:after="0"/>
        <w:jc w:val="left"/>
        <w:rPr>
          <w:rFonts w:cs="Arial"/>
        </w:rPr>
      </w:pPr>
      <w:r w:rsidRPr="00882976">
        <w:rPr>
          <w:rFonts w:cs="Arial"/>
        </w:rPr>
        <w:t>2017/18 – £10.775m</w:t>
      </w:r>
    </w:p>
    <w:p w14:paraId="32C88730" w14:textId="718C1CC5" w:rsidR="00E2033F" w:rsidRPr="00882976" w:rsidRDefault="00E2033F" w:rsidP="00882976">
      <w:pPr>
        <w:pStyle w:val="ListParagraph"/>
        <w:numPr>
          <w:ilvl w:val="1"/>
          <w:numId w:val="29"/>
        </w:numPr>
        <w:spacing w:after="0"/>
        <w:jc w:val="left"/>
        <w:rPr>
          <w:rFonts w:cs="Arial"/>
        </w:rPr>
      </w:pPr>
      <w:r w:rsidRPr="00882976">
        <w:rPr>
          <w:rFonts w:cs="Arial"/>
        </w:rPr>
        <w:t>2018/19 - £12.540m</w:t>
      </w:r>
    </w:p>
    <w:p w14:paraId="51F70485" w14:textId="1D4EB8E6" w:rsidR="00E2033F" w:rsidRPr="00882976" w:rsidRDefault="00E2033F" w:rsidP="00882976">
      <w:pPr>
        <w:pStyle w:val="ListParagraph"/>
        <w:numPr>
          <w:ilvl w:val="1"/>
          <w:numId w:val="29"/>
        </w:numPr>
        <w:spacing w:after="0"/>
        <w:jc w:val="left"/>
        <w:rPr>
          <w:rFonts w:cs="Arial"/>
        </w:rPr>
      </w:pPr>
      <w:r w:rsidRPr="00882976">
        <w:rPr>
          <w:rFonts w:cs="Arial"/>
        </w:rPr>
        <w:t>2019/20 - £15.336m</w:t>
      </w:r>
    </w:p>
    <w:p w14:paraId="5340144D" w14:textId="343961E8" w:rsidR="0000699F" w:rsidRPr="00882976" w:rsidRDefault="00E2033F" w:rsidP="00882976">
      <w:pPr>
        <w:pStyle w:val="ListParagraph"/>
        <w:numPr>
          <w:ilvl w:val="1"/>
          <w:numId w:val="29"/>
        </w:numPr>
        <w:spacing w:after="0"/>
        <w:jc w:val="left"/>
        <w:rPr>
          <w:rFonts w:cs="Arial"/>
        </w:rPr>
      </w:pPr>
      <w:r w:rsidRPr="00882976">
        <w:rPr>
          <w:rFonts w:cs="Arial"/>
        </w:rPr>
        <w:t>2020/21 - £17.842m</w:t>
      </w:r>
    </w:p>
    <w:p w14:paraId="186DC060" w14:textId="77777777" w:rsidR="00E2033F" w:rsidRPr="00882976" w:rsidRDefault="00E2033F" w:rsidP="00E2033F">
      <w:pPr>
        <w:pStyle w:val="ListParagraph"/>
        <w:spacing w:after="0"/>
        <w:ind w:left="1440"/>
        <w:jc w:val="left"/>
        <w:rPr>
          <w:rFonts w:cs="Arial"/>
        </w:rPr>
      </w:pPr>
    </w:p>
    <w:p w14:paraId="4084A882" w14:textId="339A41E4" w:rsidR="005A1497" w:rsidRPr="00882976" w:rsidRDefault="0000699F" w:rsidP="005C03EB">
      <w:pPr>
        <w:pStyle w:val="ListParagraph"/>
        <w:numPr>
          <w:ilvl w:val="0"/>
          <w:numId w:val="26"/>
        </w:numPr>
        <w:spacing w:after="0"/>
        <w:rPr>
          <w:rFonts w:cs="Arial"/>
        </w:rPr>
      </w:pPr>
      <w:r w:rsidRPr="00882976">
        <w:rPr>
          <w:rFonts w:cs="Arial"/>
        </w:rPr>
        <w:lastRenderedPageBreak/>
        <w:t>The cost of Children's Social Care</w:t>
      </w:r>
      <w:r w:rsidR="000E0CB9" w:rsidRPr="00882976">
        <w:rPr>
          <w:rFonts w:cs="Arial"/>
        </w:rPr>
        <w:t xml:space="preserve"> continues to experience increasing demand</w:t>
      </w:r>
      <w:r w:rsidRPr="00882976">
        <w:rPr>
          <w:rFonts w:cs="Arial"/>
        </w:rPr>
        <w:t xml:space="preserve"> </w:t>
      </w:r>
      <w:r w:rsidR="000E0CB9" w:rsidRPr="00882976">
        <w:rPr>
          <w:rFonts w:cs="Arial"/>
        </w:rPr>
        <w:t>and has been significantly increased again as part of this iteration of the MTFS</w:t>
      </w:r>
      <w:r w:rsidR="005A1497" w:rsidRPr="00882976">
        <w:rPr>
          <w:rFonts w:cs="Arial"/>
        </w:rPr>
        <w:t xml:space="preserve"> (and can be linked to the budget monitoring positon for Children's Social Care)</w:t>
      </w:r>
      <w:r w:rsidR="007D249C" w:rsidRPr="00882976">
        <w:rPr>
          <w:rFonts w:cs="Arial"/>
        </w:rPr>
        <w:t xml:space="preserve">. </w:t>
      </w:r>
      <w:r w:rsidR="000E0CB9" w:rsidRPr="00882976">
        <w:rPr>
          <w:rFonts w:cs="Arial"/>
        </w:rPr>
        <w:t>In the previous MTFS the total demand requirement f</w:t>
      </w:r>
      <w:r w:rsidR="00E2033F" w:rsidRPr="00882976">
        <w:rPr>
          <w:rFonts w:cs="Arial"/>
        </w:rPr>
        <w:t>or this service area was £12.324</w:t>
      </w:r>
      <w:r w:rsidR="000E0CB9" w:rsidRPr="00882976">
        <w:rPr>
          <w:rFonts w:cs="Arial"/>
        </w:rPr>
        <w:t>m. The forecast is now anticipating costs of £2</w:t>
      </w:r>
      <w:r w:rsidR="00E2033F" w:rsidRPr="00882976">
        <w:rPr>
          <w:rFonts w:cs="Arial"/>
        </w:rPr>
        <w:t>1.420</w:t>
      </w:r>
      <w:r w:rsidR="000E0CB9" w:rsidRPr="00882976">
        <w:rPr>
          <w:rFonts w:cs="Arial"/>
        </w:rPr>
        <w:t>m. This is in addition to significant additional budget that the service has been given to support improvements following the Ofsted inspection (c£16m)</w:t>
      </w:r>
      <w:r w:rsidR="005A1497" w:rsidRPr="00882976">
        <w:rPr>
          <w:rFonts w:cs="Arial"/>
        </w:rPr>
        <w:t>.</w:t>
      </w:r>
      <w:r w:rsidR="000E0CB9" w:rsidRPr="00882976">
        <w:rPr>
          <w:rFonts w:cs="Arial"/>
        </w:rPr>
        <w:t xml:space="preserve"> </w:t>
      </w:r>
      <w:r w:rsidR="005A1497" w:rsidRPr="00882976">
        <w:rPr>
          <w:rFonts w:cs="Arial"/>
        </w:rPr>
        <w:t xml:space="preserve"> </w:t>
      </w:r>
    </w:p>
    <w:p w14:paraId="73D7C75F" w14:textId="77777777" w:rsidR="00624737" w:rsidRPr="00882976" w:rsidRDefault="00624737" w:rsidP="00624737">
      <w:pPr>
        <w:pStyle w:val="ListParagraph"/>
        <w:rPr>
          <w:rFonts w:cs="Arial"/>
        </w:rPr>
      </w:pPr>
    </w:p>
    <w:p w14:paraId="251882E4" w14:textId="77777777" w:rsidR="006054E9" w:rsidRDefault="000E0CB9" w:rsidP="004A4994">
      <w:pPr>
        <w:pStyle w:val="ListParagraph"/>
        <w:spacing w:after="0"/>
        <w:ind w:left="502"/>
        <w:rPr>
          <w:rFonts w:cs="Arial"/>
        </w:rPr>
      </w:pPr>
      <w:r w:rsidRPr="00882976">
        <w:rPr>
          <w:rFonts w:cs="Arial"/>
        </w:rPr>
        <w:t xml:space="preserve">The particular area of concern is in relation to Agency Residential placements as demand seems to be particularly high in this area. </w:t>
      </w:r>
      <w:r w:rsidR="00624737" w:rsidRPr="00882976">
        <w:rPr>
          <w:rFonts w:cs="Arial"/>
        </w:rPr>
        <w:t xml:space="preserve">The forecast is based on available financial and activity information and assumes that placements will </w:t>
      </w:r>
      <w:r w:rsidRPr="00882976">
        <w:rPr>
          <w:rFonts w:cs="Arial"/>
        </w:rPr>
        <w:t xml:space="preserve">continue to </w:t>
      </w:r>
      <w:r w:rsidR="00624737" w:rsidRPr="00882976">
        <w:rPr>
          <w:rFonts w:cs="Arial"/>
        </w:rPr>
        <w:t xml:space="preserve">increase </w:t>
      </w:r>
      <w:r w:rsidRPr="00882976">
        <w:rPr>
          <w:rFonts w:cs="Arial"/>
        </w:rPr>
        <w:t xml:space="preserve">by 3.4% (the current average monthly increase in the number of children placed in Agency Residential) until the end of the financial year and </w:t>
      </w:r>
      <w:r w:rsidR="00624737" w:rsidRPr="00882976">
        <w:rPr>
          <w:rFonts w:cs="Arial"/>
        </w:rPr>
        <w:t>then after that will increase as per child population increases</w:t>
      </w:r>
      <w:r w:rsidR="004A4994" w:rsidRPr="00882976">
        <w:rPr>
          <w:rFonts w:cs="Arial"/>
        </w:rPr>
        <w:t xml:space="preserve">. </w:t>
      </w:r>
      <w:r w:rsidR="00624737" w:rsidRPr="00882976">
        <w:rPr>
          <w:rFonts w:cs="Arial"/>
        </w:rPr>
        <w:t>Work is underway to review the underlying reasons for increases in numbers of placements and is an area that is being kept closely under review</w:t>
      </w:r>
      <w:r w:rsidR="004A4994" w:rsidRPr="00882976">
        <w:rPr>
          <w:rFonts w:cs="Arial"/>
        </w:rPr>
        <w:t xml:space="preserve"> by the 0-25 Board</w:t>
      </w:r>
      <w:r w:rsidR="00624737" w:rsidRPr="00882976">
        <w:rPr>
          <w:rFonts w:cs="Arial"/>
        </w:rPr>
        <w:t>.</w:t>
      </w:r>
      <w:r w:rsidR="004A4994" w:rsidRPr="00882976">
        <w:rPr>
          <w:rFonts w:cs="Arial"/>
        </w:rPr>
        <w:t xml:space="preserve"> </w:t>
      </w:r>
    </w:p>
    <w:p w14:paraId="2B41C0D9" w14:textId="77777777" w:rsidR="006054E9" w:rsidRDefault="006054E9" w:rsidP="004A4994">
      <w:pPr>
        <w:pStyle w:val="ListParagraph"/>
        <w:spacing w:after="0"/>
        <w:ind w:left="502"/>
        <w:rPr>
          <w:rFonts w:cs="Arial"/>
        </w:rPr>
      </w:pPr>
    </w:p>
    <w:p w14:paraId="4B937AB8" w14:textId="45AD930F" w:rsidR="00624737" w:rsidRPr="00882976" w:rsidRDefault="004A4994" w:rsidP="004A4994">
      <w:pPr>
        <w:pStyle w:val="ListParagraph"/>
        <w:spacing w:after="0"/>
        <w:ind w:left="502"/>
        <w:rPr>
          <w:rFonts w:cs="Arial"/>
        </w:rPr>
      </w:pPr>
      <w:r w:rsidRPr="00882976">
        <w:rPr>
          <w:rFonts w:cs="Arial"/>
        </w:rPr>
        <w:t>A Finance Sub-Group has been established to specifically focus on the cost drivers, unit costs and financial analysis of the costs and demand levels being experienced in Children's Social Care, with their findings being reported back to the 0-25 Board. T</w:t>
      </w:r>
      <w:r w:rsidR="00315E2F" w:rsidRPr="00882976">
        <w:rPr>
          <w:rFonts w:cs="Arial"/>
        </w:rPr>
        <w:t xml:space="preserve">his </w:t>
      </w:r>
      <w:r w:rsidRPr="00882976">
        <w:rPr>
          <w:rFonts w:cs="Arial"/>
        </w:rPr>
        <w:t xml:space="preserve">analysis and action is vital as the current demand levels </w:t>
      </w:r>
      <w:r w:rsidR="006054E9">
        <w:rPr>
          <w:rFonts w:cs="Arial"/>
        </w:rPr>
        <w:t>represent a</w:t>
      </w:r>
      <w:r w:rsidR="00315E2F" w:rsidRPr="00882976">
        <w:rPr>
          <w:rFonts w:cs="Arial"/>
        </w:rPr>
        <w:t xml:space="preserve"> significant risk to the MTFS</w:t>
      </w:r>
      <w:r w:rsidR="006054E9">
        <w:rPr>
          <w:rFonts w:cs="Arial"/>
        </w:rPr>
        <w:t xml:space="preserve"> assumptions</w:t>
      </w:r>
      <w:r w:rsidR="00315E2F" w:rsidRPr="00882976">
        <w:rPr>
          <w:rFonts w:cs="Arial"/>
        </w:rPr>
        <w:t xml:space="preserve">, as there are </w:t>
      </w:r>
      <w:r w:rsidR="006054E9">
        <w:rPr>
          <w:rFonts w:cs="Arial"/>
        </w:rPr>
        <w:t xml:space="preserve">only </w:t>
      </w:r>
      <w:r w:rsidR="00315E2F" w:rsidRPr="00882976">
        <w:rPr>
          <w:rFonts w:cs="Arial"/>
        </w:rPr>
        <w:t xml:space="preserve">currently </w:t>
      </w:r>
      <w:r w:rsidR="006054E9">
        <w:rPr>
          <w:rFonts w:cs="Arial"/>
        </w:rPr>
        <w:t>population increases (c</w:t>
      </w:r>
      <w:r w:rsidR="00315E2F" w:rsidRPr="00882976">
        <w:rPr>
          <w:rFonts w:cs="Arial"/>
        </w:rPr>
        <w:t>£0.300m - £0.400m</w:t>
      </w:r>
      <w:r w:rsidR="006054E9">
        <w:rPr>
          <w:rFonts w:cs="Arial"/>
        </w:rPr>
        <w:t>)</w:t>
      </w:r>
      <w:r w:rsidR="00315E2F" w:rsidRPr="00882976">
        <w:rPr>
          <w:rFonts w:cs="Arial"/>
        </w:rPr>
        <w:t xml:space="preserve"> included in each year from 2018/19 – 2020/21 which </w:t>
      </w:r>
      <w:r w:rsidR="009930C6">
        <w:rPr>
          <w:rFonts w:cs="Arial"/>
        </w:rPr>
        <w:t>are significantly below the</w:t>
      </w:r>
      <w:r w:rsidR="00315E2F" w:rsidRPr="00882976">
        <w:rPr>
          <w:rFonts w:cs="Arial"/>
        </w:rPr>
        <w:t xml:space="preserve"> current demand levels. </w:t>
      </w:r>
    </w:p>
    <w:p w14:paraId="582F439B" w14:textId="77777777" w:rsidR="004C00D2" w:rsidRPr="00882976" w:rsidRDefault="004C00D2" w:rsidP="004A4994">
      <w:pPr>
        <w:spacing w:after="0"/>
        <w:rPr>
          <w:rFonts w:cs="Arial"/>
        </w:rPr>
      </w:pPr>
    </w:p>
    <w:p w14:paraId="43EBD73F" w14:textId="31D8080C" w:rsidR="00214ED1" w:rsidRPr="00882976" w:rsidRDefault="004C00D2" w:rsidP="00214ED1">
      <w:pPr>
        <w:pStyle w:val="ListParagraph"/>
        <w:spacing w:after="0"/>
        <w:ind w:left="502"/>
        <w:rPr>
          <w:rFonts w:cs="Arial"/>
        </w:rPr>
      </w:pPr>
      <w:r w:rsidRPr="00882976">
        <w:rPr>
          <w:rFonts w:cs="Arial"/>
        </w:rPr>
        <w:t xml:space="preserve">The additional budget requirement </w:t>
      </w:r>
      <w:r w:rsidR="007D249C" w:rsidRPr="00882976">
        <w:rPr>
          <w:rFonts w:cs="Arial"/>
        </w:rPr>
        <w:t>of £</w:t>
      </w:r>
      <w:r w:rsidR="000E0CB9" w:rsidRPr="00882976">
        <w:rPr>
          <w:rFonts w:cs="Arial"/>
        </w:rPr>
        <w:t>9.</w:t>
      </w:r>
      <w:r w:rsidR="00315E2F" w:rsidRPr="00882976">
        <w:rPr>
          <w:rFonts w:cs="Arial"/>
        </w:rPr>
        <w:t>096</w:t>
      </w:r>
      <w:r w:rsidR="000E0CB9" w:rsidRPr="00882976">
        <w:rPr>
          <w:rFonts w:cs="Arial"/>
        </w:rPr>
        <w:t>m</w:t>
      </w:r>
      <w:r w:rsidR="007D249C" w:rsidRPr="00882976">
        <w:rPr>
          <w:rFonts w:cs="Arial"/>
        </w:rPr>
        <w:t xml:space="preserve"> </w:t>
      </w:r>
      <w:r w:rsidRPr="00882976">
        <w:rPr>
          <w:rFonts w:cs="Arial"/>
        </w:rPr>
        <w:t>in 2017/1</w:t>
      </w:r>
      <w:r w:rsidR="007D249C" w:rsidRPr="00882976">
        <w:rPr>
          <w:rFonts w:cs="Arial"/>
        </w:rPr>
        <w:t>8 for Children's Social is included within the revised MTFS</w:t>
      </w:r>
      <w:r w:rsidRPr="00882976">
        <w:rPr>
          <w:rFonts w:cs="Arial"/>
        </w:rPr>
        <w:t>. This reflects the overspend that is being reported as part of budget monitoring in 2016/17 and continues to anticipate a growing population of ch</w:t>
      </w:r>
      <w:r w:rsidR="007D249C" w:rsidRPr="00882976">
        <w:rPr>
          <w:rFonts w:cs="Arial"/>
        </w:rPr>
        <w:t>ildren looked after in 2017/18 and beyond wi</w:t>
      </w:r>
      <w:r w:rsidR="00315E2F" w:rsidRPr="00882976">
        <w:rPr>
          <w:rFonts w:cs="Arial"/>
        </w:rPr>
        <w:t>th an overall £22.361</w:t>
      </w:r>
      <w:r w:rsidR="007D249C" w:rsidRPr="00882976">
        <w:rPr>
          <w:rFonts w:cs="Arial"/>
        </w:rPr>
        <w:t xml:space="preserve">m included from 2017/18 – 2020/21. </w:t>
      </w:r>
    </w:p>
    <w:p w14:paraId="1CEAD053" w14:textId="77777777" w:rsidR="00214ED1" w:rsidRPr="00882976" w:rsidRDefault="00214ED1" w:rsidP="00214ED1">
      <w:pPr>
        <w:pStyle w:val="ListParagraph"/>
        <w:spacing w:after="0"/>
        <w:ind w:left="502"/>
        <w:rPr>
          <w:rFonts w:cs="Arial"/>
        </w:rPr>
      </w:pPr>
    </w:p>
    <w:p w14:paraId="08C348A0" w14:textId="0407293A" w:rsidR="00CA03DB" w:rsidRPr="00882976" w:rsidRDefault="00214ED1" w:rsidP="00C37DF8">
      <w:pPr>
        <w:pStyle w:val="ListParagraph"/>
        <w:numPr>
          <w:ilvl w:val="0"/>
          <w:numId w:val="26"/>
        </w:numPr>
        <w:spacing w:after="0"/>
        <w:rPr>
          <w:rFonts w:cs="Arial"/>
        </w:rPr>
      </w:pPr>
      <w:r w:rsidRPr="00882976">
        <w:rPr>
          <w:rFonts w:cs="Arial"/>
        </w:rPr>
        <w:t xml:space="preserve">The revised MTFS for 2017/18 </w:t>
      </w:r>
      <w:r w:rsidR="00F17AA1" w:rsidRPr="00882976">
        <w:rPr>
          <w:rFonts w:cs="Arial"/>
        </w:rPr>
        <w:t>continues to include a significant amount in relation to Waste Services demand pressures as a result of increases</w:t>
      </w:r>
      <w:r w:rsidRPr="00882976">
        <w:rPr>
          <w:rFonts w:cs="Arial"/>
        </w:rPr>
        <w:t xml:space="preserve"> in residual waste </w:t>
      </w:r>
      <w:proofErr w:type="spellStart"/>
      <w:r w:rsidRPr="00882976">
        <w:rPr>
          <w:rFonts w:cs="Arial"/>
        </w:rPr>
        <w:t>arisings</w:t>
      </w:r>
      <w:proofErr w:type="spellEnd"/>
      <w:r w:rsidRPr="00882976">
        <w:rPr>
          <w:rFonts w:cs="Arial"/>
        </w:rPr>
        <w:t xml:space="preserve"> with</w:t>
      </w:r>
      <w:r w:rsidR="009A29DA" w:rsidRPr="00882976">
        <w:rPr>
          <w:rFonts w:cs="Arial"/>
        </w:rPr>
        <w:t xml:space="preserve"> 4% </w:t>
      </w:r>
      <w:r w:rsidR="00F17AA1" w:rsidRPr="00882976">
        <w:rPr>
          <w:rFonts w:cs="Arial"/>
        </w:rPr>
        <w:t>currently</w:t>
      </w:r>
      <w:r w:rsidRPr="00882976">
        <w:rPr>
          <w:rFonts w:cs="Arial"/>
        </w:rPr>
        <w:t xml:space="preserve"> being forecast (compared to a previously assumed 1%) and some additional green waste costs. </w:t>
      </w:r>
      <w:r w:rsidR="00F17AA1" w:rsidRPr="00882976">
        <w:rPr>
          <w:rFonts w:cs="Arial"/>
        </w:rPr>
        <w:t>In the previous MTFS the budget requirement for waste was £9.946m with the revised position in this MFTS being a requirement of £</w:t>
      </w:r>
      <w:r w:rsidR="00862413" w:rsidRPr="00882976">
        <w:rPr>
          <w:rFonts w:cs="Arial"/>
        </w:rPr>
        <w:t>11.204</w:t>
      </w:r>
      <w:r w:rsidR="00F17AA1" w:rsidRPr="00882976">
        <w:rPr>
          <w:rFonts w:cs="Arial"/>
        </w:rPr>
        <w:t xml:space="preserve">m due to </w:t>
      </w:r>
      <w:r w:rsidR="00CA03DB" w:rsidRPr="00882976">
        <w:rPr>
          <w:rFonts w:cs="Arial"/>
        </w:rPr>
        <w:t xml:space="preserve">slightly increasing demand. </w:t>
      </w:r>
    </w:p>
    <w:p w14:paraId="5EE847A8" w14:textId="3CC5BBD2" w:rsidR="005D7E94" w:rsidRPr="00882976" w:rsidRDefault="005D7E94" w:rsidP="00CA03DB">
      <w:pPr>
        <w:pStyle w:val="ListParagraph"/>
        <w:spacing w:after="0"/>
        <w:ind w:left="502"/>
        <w:rPr>
          <w:rFonts w:cs="Arial"/>
        </w:rPr>
      </w:pPr>
    </w:p>
    <w:p w14:paraId="3C3CF46B" w14:textId="0A06C372" w:rsidR="000C0795" w:rsidRPr="00882976" w:rsidRDefault="005A1497" w:rsidP="005C03EB">
      <w:pPr>
        <w:spacing w:after="0"/>
        <w:rPr>
          <w:rFonts w:cs="Arial"/>
          <w:b/>
        </w:rPr>
      </w:pPr>
      <w:r w:rsidRPr="00882976">
        <w:rPr>
          <w:rFonts w:cs="Arial"/>
          <w:b/>
        </w:rPr>
        <w:t>3.4 Other</w:t>
      </w:r>
    </w:p>
    <w:p w14:paraId="0EEAEB37" w14:textId="77777777" w:rsidR="005A1497" w:rsidRPr="00882976" w:rsidRDefault="005A1497" w:rsidP="005C03EB">
      <w:pPr>
        <w:spacing w:after="0"/>
        <w:rPr>
          <w:rFonts w:cs="Arial"/>
          <w:highlight w:val="yellow"/>
        </w:rPr>
      </w:pPr>
    </w:p>
    <w:p w14:paraId="16D004E2" w14:textId="477D6BCE" w:rsidR="00214ED1" w:rsidRPr="00882976" w:rsidRDefault="005A1497" w:rsidP="00F17AA1">
      <w:pPr>
        <w:spacing w:after="0"/>
        <w:rPr>
          <w:rFonts w:cs="Arial"/>
        </w:rPr>
      </w:pPr>
      <w:r w:rsidRPr="00882976">
        <w:rPr>
          <w:rFonts w:cs="Arial"/>
        </w:rPr>
        <w:t xml:space="preserve">This section contains adjustments </w:t>
      </w:r>
      <w:r w:rsidR="00963C08" w:rsidRPr="00882976">
        <w:rPr>
          <w:rFonts w:cs="Arial"/>
        </w:rPr>
        <w:t xml:space="preserve">in relation to </w:t>
      </w:r>
      <w:r w:rsidR="0059242D">
        <w:rPr>
          <w:rFonts w:cs="Arial"/>
        </w:rPr>
        <w:t xml:space="preserve">the </w:t>
      </w:r>
      <w:r w:rsidR="00963C08" w:rsidRPr="00882976">
        <w:rPr>
          <w:rFonts w:cs="Arial"/>
        </w:rPr>
        <w:t>National Living Wage</w:t>
      </w:r>
      <w:r w:rsidR="0059242D">
        <w:rPr>
          <w:rFonts w:cs="Arial"/>
        </w:rPr>
        <w:t xml:space="preserve"> assumptions ant</w:t>
      </w:r>
      <w:r w:rsidR="005F3006" w:rsidRPr="00882976">
        <w:rPr>
          <w:rFonts w:cs="Arial"/>
        </w:rPr>
        <w:t>icipated additional income for the Mental Health service</w:t>
      </w:r>
      <w:r w:rsidR="00963C08" w:rsidRPr="00882976">
        <w:rPr>
          <w:rFonts w:cs="Arial"/>
        </w:rPr>
        <w:t xml:space="preserve"> and </w:t>
      </w:r>
      <w:r w:rsidR="00A34966" w:rsidRPr="00882976">
        <w:rPr>
          <w:rFonts w:cs="Arial"/>
        </w:rPr>
        <w:t>other minor adjustments to service budgets.</w:t>
      </w:r>
      <w:r w:rsidRPr="00882976">
        <w:rPr>
          <w:rFonts w:cs="Arial"/>
        </w:rPr>
        <w:t xml:space="preserve"> </w:t>
      </w:r>
    </w:p>
    <w:p w14:paraId="7A5CF0F6" w14:textId="77777777" w:rsidR="00AF4AF2" w:rsidRPr="00882976" w:rsidRDefault="00AF4AF2" w:rsidP="00617AC0">
      <w:pPr>
        <w:autoSpaceDE/>
        <w:autoSpaceDN/>
        <w:adjustRightInd/>
        <w:spacing w:after="0"/>
        <w:rPr>
          <w:rFonts w:cs="Arial"/>
        </w:rPr>
      </w:pPr>
    </w:p>
    <w:p w14:paraId="3BE560C1" w14:textId="0C654D31" w:rsidR="00326455" w:rsidRPr="00882976" w:rsidRDefault="00A34966" w:rsidP="00617AC0">
      <w:pPr>
        <w:tabs>
          <w:tab w:val="left" w:pos="567"/>
          <w:tab w:val="left" w:pos="1134"/>
        </w:tabs>
        <w:spacing w:after="0"/>
        <w:rPr>
          <w:rFonts w:cs="Arial"/>
          <w:b/>
        </w:rPr>
      </w:pPr>
      <w:r w:rsidRPr="00882976">
        <w:rPr>
          <w:rFonts w:cs="Arial"/>
          <w:b/>
        </w:rPr>
        <w:t>3.5</w:t>
      </w:r>
      <w:r w:rsidR="00B63BF2" w:rsidRPr="00882976">
        <w:rPr>
          <w:rFonts w:cs="Arial"/>
          <w:b/>
        </w:rPr>
        <w:t xml:space="preserve"> Undeliverable Savings</w:t>
      </w:r>
    </w:p>
    <w:p w14:paraId="69BDB1DD" w14:textId="77777777" w:rsidR="00326455" w:rsidRPr="00882976" w:rsidRDefault="00326455" w:rsidP="00617AC0">
      <w:pPr>
        <w:tabs>
          <w:tab w:val="left" w:pos="567"/>
          <w:tab w:val="left" w:pos="1134"/>
        </w:tabs>
        <w:spacing w:after="0"/>
        <w:rPr>
          <w:rFonts w:cs="Arial"/>
          <w:b/>
        </w:rPr>
      </w:pPr>
    </w:p>
    <w:p w14:paraId="5DCF2571" w14:textId="34B93EF5" w:rsidR="00214ED1" w:rsidRPr="00882976" w:rsidRDefault="00326455" w:rsidP="006B3273">
      <w:pPr>
        <w:tabs>
          <w:tab w:val="left" w:pos="567"/>
          <w:tab w:val="left" w:pos="1134"/>
        </w:tabs>
        <w:spacing w:after="0"/>
        <w:rPr>
          <w:rFonts w:cs="Arial"/>
        </w:rPr>
      </w:pPr>
      <w:r w:rsidRPr="00882976">
        <w:rPr>
          <w:rFonts w:cs="Arial"/>
        </w:rPr>
        <w:t xml:space="preserve">The savings to be achieved are constantly under review. </w:t>
      </w:r>
      <w:r w:rsidR="006B3273" w:rsidRPr="00882976">
        <w:rPr>
          <w:rFonts w:cs="Arial"/>
        </w:rPr>
        <w:t>This has resulted in</w:t>
      </w:r>
      <w:r w:rsidR="00426492" w:rsidRPr="00882976">
        <w:rPr>
          <w:rFonts w:cs="Arial"/>
        </w:rPr>
        <w:t xml:space="preserve"> some savings plans being identified as now not being fully deliverable</w:t>
      </w:r>
      <w:r w:rsidR="00B756C8" w:rsidRPr="00882976">
        <w:rPr>
          <w:rFonts w:cs="Arial"/>
        </w:rPr>
        <w:t xml:space="preserve"> or delayed.</w:t>
      </w:r>
    </w:p>
    <w:p w14:paraId="128934BF" w14:textId="77777777" w:rsidR="00B756C8" w:rsidRPr="00882976" w:rsidRDefault="00B756C8" w:rsidP="006B3273">
      <w:pPr>
        <w:tabs>
          <w:tab w:val="left" w:pos="567"/>
          <w:tab w:val="left" w:pos="1134"/>
        </w:tabs>
        <w:spacing w:after="0"/>
        <w:rPr>
          <w:rFonts w:cs="Arial"/>
        </w:rPr>
      </w:pPr>
    </w:p>
    <w:p w14:paraId="02D5687F" w14:textId="77777777" w:rsidR="00F21D87" w:rsidRDefault="00B756C8" w:rsidP="006B3273">
      <w:pPr>
        <w:tabs>
          <w:tab w:val="left" w:pos="567"/>
          <w:tab w:val="left" w:pos="1134"/>
        </w:tabs>
        <w:spacing w:after="0"/>
        <w:rPr>
          <w:rFonts w:cs="Arial"/>
        </w:rPr>
      </w:pPr>
      <w:r w:rsidRPr="00882976">
        <w:rPr>
          <w:rFonts w:cs="Arial"/>
        </w:rPr>
        <w:lastRenderedPageBreak/>
        <w:t>Within this MTFS the previously savings contained within the budget for Adults Services have been re</w:t>
      </w:r>
      <w:r w:rsidR="00E92B22" w:rsidRPr="00882976">
        <w:rPr>
          <w:rFonts w:cs="Arial"/>
        </w:rPr>
        <w:t>-</w:t>
      </w:r>
      <w:r w:rsidRPr="00882976">
        <w:rPr>
          <w:rFonts w:cs="Arial"/>
        </w:rPr>
        <w:t xml:space="preserve">profiled and adjusted to reflect the </w:t>
      </w:r>
      <w:r w:rsidR="00F21D87">
        <w:rPr>
          <w:rFonts w:cs="Arial"/>
        </w:rPr>
        <w:t xml:space="preserve">transformation </w:t>
      </w:r>
      <w:r w:rsidRPr="00882976">
        <w:rPr>
          <w:rFonts w:cs="Arial"/>
        </w:rPr>
        <w:t>work</w:t>
      </w:r>
      <w:r w:rsidR="00F21D87">
        <w:rPr>
          <w:rFonts w:cs="Arial"/>
        </w:rPr>
        <w:t xml:space="preserve">, "Passport to Independence" </w:t>
      </w:r>
      <w:r w:rsidRPr="00882976">
        <w:rPr>
          <w:rFonts w:cs="Arial"/>
        </w:rPr>
        <w:t xml:space="preserve"> that the service </w:t>
      </w:r>
      <w:r w:rsidR="00F21D87">
        <w:rPr>
          <w:rFonts w:cs="Arial"/>
        </w:rPr>
        <w:t>is undertaking</w:t>
      </w:r>
      <w:r w:rsidRPr="00882976">
        <w:rPr>
          <w:rFonts w:cs="Arial"/>
        </w:rPr>
        <w:t xml:space="preserve"> with Newton Europe. This results in a significant </w:t>
      </w:r>
      <w:r w:rsidR="001422F8" w:rsidRPr="00882976">
        <w:rPr>
          <w:rFonts w:cs="Arial"/>
        </w:rPr>
        <w:t xml:space="preserve">although largely temporary additional </w:t>
      </w:r>
      <w:r w:rsidRPr="00882976">
        <w:rPr>
          <w:rFonts w:cs="Arial"/>
        </w:rPr>
        <w:t xml:space="preserve">budget requirement of £14.256m in 2017/18, </w:t>
      </w:r>
      <w:r w:rsidR="001422F8" w:rsidRPr="00882976">
        <w:rPr>
          <w:rFonts w:cs="Arial"/>
        </w:rPr>
        <w:t>as</w:t>
      </w:r>
      <w:r w:rsidRPr="00882976">
        <w:rPr>
          <w:rFonts w:cs="Arial"/>
        </w:rPr>
        <w:t xml:space="preserve"> in future years the budgets are reduced to reflect the correct timing of the achievement of the savings. </w:t>
      </w:r>
    </w:p>
    <w:p w14:paraId="0AE0AE6B" w14:textId="77777777" w:rsidR="00F21D87" w:rsidRDefault="00F21D87" w:rsidP="006B3273">
      <w:pPr>
        <w:tabs>
          <w:tab w:val="left" w:pos="567"/>
          <w:tab w:val="left" w:pos="1134"/>
        </w:tabs>
        <w:spacing w:after="0"/>
        <w:rPr>
          <w:rFonts w:cs="Arial"/>
        </w:rPr>
      </w:pPr>
    </w:p>
    <w:p w14:paraId="41B0FFFD" w14:textId="5016845C" w:rsidR="00B756C8" w:rsidRPr="00882976" w:rsidRDefault="00B756C8" w:rsidP="006B3273">
      <w:pPr>
        <w:tabs>
          <w:tab w:val="left" w:pos="567"/>
          <w:tab w:val="left" w:pos="1134"/>
        </w:tabs>
        <w:spacing w:after="0"/>
        <w:rPr>
          <w:rFonts w:cs="Arial"/>
        </w:rPr>
      </w:pPr>
      <w:r w:rsidRPr="00882976">
        <w:rPr>
          <w:rFonts w:cs="Arial"/>
        </w:rPr>
        <w:t xml:space="preserve">However, there is a net £1.777m that </w:t>
      </w:r>
      <w:r w:rsidR="001422F8" w:rsidRPr="00882976">
        <w:rPr>
          <w:rFonts w:cs="Arial"/>
        </w:rPr>
        <w:t>may</w:t>
      </w:r>
      <w:r w:rsidRPr="00882976">
        <w:rPr>
          <w:rFonts w:cs="Arial"/>
        </w:rPr>
        <w:t xml:space="preserve"> not be achieved and has been built back into the MTFS. </w:t>
      </w:r>
    </w:p>
    <w:p w14:paraId="6262BC0B" w14:textId="77777777" w:rsidR="00B756C8" w:rsidRPr="00882976" w:rsidRDefault="00B756C8" w:rsidP="006B3273">
      <w:pPr>
        <w:tabs>
          <w:tab w:val="left" w:pos="567"/>
          <w:tab w:val="left" w:pos="1134"/>
        </w:tabs>
        <w:spacing w:after="0"/>
        <w:rPr>
          <w:rFonts w:cs="Arial"/>
        </w:rPr>
      </w:pPr>
    </w:p>
    <w:p w14:paraId="00D4E610" w14:textId="56EC31AD" w:rsidR="00B756C8" w:rsidRPr="00882976" w:rsidRDefault="00B756C8" w:rsidP="006B3273">
      <w:pPr>
        <w:tabs>
          <w:tab w:val="left" w:pos="567"/>
          <w:tab w:val="left" w:pos="1134"/>
        </w:tabs>
        <w:spacing w:after="0"/>
        <w:rPr>
          <w:rFonts w:cs="Arial"/>
        </w:rPr>
      </w:pPr>
      <w:r w:rsidRPr="00882976">
        <w:rPr>
          <w:rFonts w:cs="Arial"/>
        </w:rPr>
        <w:t>Other areas where savings are deemed to be undeliverable are mainly facilities management, where items such as the revised plans for Woodlands and the decision not to reduce opening hours means that savings totallin</w:t>
      </w:r>
      <w:r w:rsidR="00616F0E">
        <w:rPr>
          <w:rFonts w:cs="Arial"/>
        </w:rPr>
        <w:t xml:space="preserve">g £0.434m will not be achieved and have been adjusted for in the MTFS. </w:t>
      </w:r>
    </w:p>
    <w:p w14:paraId="7556113F" w14:textId="77777777" w:rsidR="00B63BF2" w:rsidRPr="00882976" w:rsidRDefault="00B63BF2" w:rsidP="006B3273">
      <w:pPr>
        <w:tabs>
          <w:tab w:val="left" w:pos="567"/>
          <w:tab w:val="left" w:pos="1134"/>
        </w:tabs>
        <w:spacing w:after="0"/>
        <w:rPr>
          <w:rFonts w:cs="Arial"/>
        </w:rPr>
      </w:pPr>
    </w:p>
    <w:p w14:paraId="01E0946D" w14:textId="7FCB1AFD" w:rsidR="00B63BF2" w:rsidRPr="00882976" w:rsidRDefault="00A34966" w:rsidP="006B3273">
      <w:pPr>
        <w:tabs>
          <w:tab w:val="left" w:pos="567"/>
          <w:tab w:val="left" w:pos="1134"/>
        </w:tabs>
        <w:spacing w:after="0"/>
        <w:rPr>
          <w:rFonts w:cs="Arial"/>
          <w:b/>
        </w:rPr>
      </w:pPr>
      <w:r w:rsidRPr="00882976">
        <w:rPr>
          <w:rFonts w:cs="Arial"/>
          <w:b/>
        </w:rPr>
        <w:t>3.6</w:t>
      </w:r>
      <w:r w:rsidR="00B63BF2" w:rsidRPr="00882976">
        <w:rPr>
          <w:rFonts w:cs="Arial"/>
          <w:b/>
        </w:rPr>
        <w:t xml:space="preserve"> Ad</w:t>
      </w:r>
      <w:r w:rsidR="00E92B22" w:rsidRPr="00882976">
        <w:rPr>
          <w:rFonts w:cs="Arial"/>
          <w:b/>
        </w:rPr>
        <w:t>justments to</w:t>
      </w:r>
      <w:r w:rsidR="00B63BF2" w:rsidRPr="00882976">
        <w:rPr>
          <w:rFonts w:cs="Arial"/>
          <w:b/>
        </w:rPr>
        <w:t xml:space="preserve"> Savings</w:t>
      </w:r>
      <w:r w:rsidR="00E92B22" w:rsidRPr="00882976">
        <w:rPr>
          <w:rFonts w:cs="Arial"/>
          <w:b/>
        </w:rPr>
        <w:t xml:space="preserve"> Programme</w:t>
      </w:r>
    </w:p>
    <w:p w14:paraId="7D9B0704" w14:textId="77777777" w:rsidR="00757FB9" w:rsidRPr="00882976" w:rsidRDefault="00757FB9" w:rsidP="008D5D96">
      <w:pPr>
        <w:tabs>
          <w:tab w:val="left" w:pos="567"/>
          <w:tab w:val="left" w:pos="1134"/>
        </w:tabs>
        <w:spacing w:after="0"/>
        <w:rPr>
          <w:rFonts w:cs="Arial"/>
          <w:b/>
          <w:highlight w:val="yellow"/>
        </w:rPr>
      </w:pPr>
    </w:p>
    <w:p w14:paraId="321C29F2" w14:textId="302518AB" w:rsidR="00B756C8" w:rsidRPr="00882976" w:rsidRDefault="00B756C8" w:rsidP="008D5D96">
      <w:pPr>
        <w:tabs>
          <w:tab w:val="left" w:pos="567"/>
          <w:tab w:val="left" w:pos="1134"/>
        </w:tabs>
        <w:spacing w:after="0"/>
        <w:rPr>
          <w:rFonts w:cs="Arial"/>
        </w:rPr>
      </w:pPr>
      <w:r w:rsidRPr="00882976">
        <w:rPr>
          <w:rFonts w:cs="Arial"/>
        </w:rPr>
        <w:t>As part of last year's budget strategy a</w:t>
      </w:r>
      <w:r w:rsidR="001422F8" w:rsidRPr="00882976">
        <w:rPr>
          <w:rFonts w:cs="Arial"/>
        </w:rPr>
        <w:t>n</w:t>
      </w:r>
      <w:r w:rsidRPr="00882976">
        <w:rPr>
          <w:rFonts w:cs="Arial"/>
        </w:rPr>
        <w:t>d budget setting process a Zero Based Budget Review (ZBBR) process was commenced to identify any further efficiencies and budget savings within service and corporate budgets. As a result of the work undertaken a total of £</w:t>
      </w:r>
      <w:r w:rsidR="00E92B22" w:rsidRPr="00882976">
        <w:rPr>
          <w:rFonts w:cs="Arial"/>
        </w:rPr>
        <w:t>6.320</w:t>
      </w:r>
      <w:r w:rsidR="00F84389" w:rsidRPr="00882976">
        <w:rPr>
          <w:rFonts w:cs="Arial"/>
        </w:rPr>
        <w:t xml:space="preserve">m </w:t>
      </w:r>
      <w:r w:rsidRPr="00882976">
        <w:rPr>
          <w:rFonts w:cs="Arial"/>
        </w:rPr>
        <w:t xml:space="preserve">has been identified as potential budget reductions for 2017/18 in areas such as Design and Construction, Emergency Planning and Resilience and Legal and Democratic Services. </w:t>
      </w:r>
      <w:r w:rsidR="00506C3A" w:rsidRPr="00882976">
        <w:rPr>
          <w:rFonts w:cs="Arial"/>
        </w:rPr>
        <w:t>Further details of the ZBBR</w:t>
      </w:r>
      <w:r w:rsidR="008208B2">
        <w:rPr>
          <w:rFonts w:cs="Arial"/>
        </w:rPr>
        <w:t xml:space="preserve"> outcomes can be found in Appendix D.</w:t>
      </w:r>
    </w:p>
    <w:p w14:paraId="2F5C1148" w14:textId="77777777" w:rsidR="00B756C8" w:rsidRPr="00882976" w:rsidRDefault="00B756C8" w:rsidP="008D5D96">
      <w:pPr>
        <w:tabs>
          <w:tab w:val="left" w:pos="567"/>
          <w:tab w:val="left" w:pos="1134"/>
        </w:tabs>
        <w:spacing w:after="0"/>
        <w:rPr>
          <w:rFonts w:cs="Arial"/>
        </w:rPr>
      </w:pPr>
    </w:p>
    <w:p w14:paraId="7A0FD0EB" w14:textId="3F40C971" w:rsidR="00B756C8" w:rsidRPr="00882976" w:rsidRDefault="00B756C8" w:rsidP="008D5D96">
      <w:pPr>
        <w:tabs>
          <w:tab w:val="left" w:pos="567"/>
          <w:tab w:val="left" w:pos="1134"/>
        </w:tabs>
        <w:spacing w:after="0"/>
        <w:rPr>
          <w:rFonts w:cs="Arial"/>
        </w:rPr>
      </w:pPr>
      <w:r w:rsidRPr="00882976">
        <w:rPr>
          <w:rFonts w:cs="Arial"/>
        </w:rPr>
        <w:t>In addition it has been identified as part of the detailed review of Adults Services that further savings (over the 4 year period) can be found in the following areas:</w:t>
      </w:r>
    </w:p>
    <w:p w14:paraId="6D85458D" w14:textId="77777777" w:rsidR="00743528" w:rsidRPr="00882976" w:rsidRDefault="00743528" w:rsidP="00743528">
      <w:pPr>
        <w:pStyle w:val="ListParagraph"/>
        <w:numPr>
          <w:ilvl w:val="0"/>
          <w:numId w:val="26"/>
        </w:numPr>
        <w:tabs>
          <w:tab w:val="left" w:pos="567"/>
          <w:tab w:val="left" w:pos="1134"/>
        </w:tabs>
        <w:spacing w:after="0"/>
        <w:rPr>
          <w:rFonts w:cs="Arial"/>
        </w:rPr>
      </w:pPr>
      <w:r w:rsidRPr="00882976">
        <w:rPr>
          <w:rFonts w:cs="Arial"/>
        </w:rPr>
        <w:t>L</w:t>
      </w:r>
      <w:r>
        <w:rPr>
          <w:rFonts w:cs="Arial"/>
        </w:rPr>
        <w:t xml:space="preserve">earning </w:t>
      </w:r>
      <w:r w:rsidRPr="00882976">
        <w:rPr>
          <w:rFonts w:cs="Arial"/>
        </w:rPr>
        <w:t>D</w:t>
      </w:r>
      <w:r>
        <w:rPr>
          <w:rFonts w:cs="Arial"/>
        </w:rPr>
        <w:t>isability (LD)</w:t>
      </w:r>
      <w:r w:rsidRPr="00882976">
        <w:rPr>
          <w:rFonts w:cs="Arial"/>
        </w:rPr>
        <w:t xml:space="preserve"> Remodelling (£4.800m) – This is the continuation of an existing saving programme that is currently underway. This is a review process that looks at the need of the service user</w:t>
      </w:r>
      <w:r>
        <w:rPr>
          <w:rFonts w:cs="Arial"/>
        </w:rPr>
        <w:t xml:space="preserve">s within shared supported living settings </w:t>
      </w:r>
      <w:r w:rsidRPr="00882976">
        <w:rPr>
          <w:rFonts w:cs="Arial"/>
        </w:rPr>
        <w:t xml:space="preserve">and remodels the service package they are receiving with a priority being encouraging independence. The team are expected to complete the remodelling process for c.40 </w:t>
      </w:r>
      <w:r>
        <w:rPr>
          <w:rFonts w:cs="Arial"/>
        </w:rPr>
        <w:t>tenancies</w:t>
      </w:r>
      <w:r w:rsidRPr="00882976">
        <w:rPr>
          <w:rFonts w:cs="Arial"/>
        </w:rPr>
        <w:t xml:space="preserve"> per annum. </w:t>
      </w:r>
      <w:r>
        <w:rPr>
          <w:rFonts w:cs="Arial"/>
        </w:rPr>
        <w:t xml:space="preserve">This review activity has been in place for a number of years and it is anticipated that all remaining tenancies to be reviewed will be remodelled over the next 4 years. </w:t>
      </w:r>
    </w:p>
    <w:p w14:paraId="2CCA1401" w14:textId="77777777" w:rsidR="00743528" w:rsidRDefault="00743528" w:rsidP="00743528">
      <w:pPr>
        <w:pStyle w:val="ListParagraph"/>
        <w:numPr>
          <w:ilvl w:val="0"/>
          <w:numId w:val="26"/>
        </w:numPr>
        <w:tabs>
          <w:tab w:val="left" w:pos="567"/>
          <w:tab w:val="left" w:pos="1134"/>
        </w:tabs>
        <w:spacing w:after="0"/>
        <w:rPr>
          <w:rFonts w:cs="Arial"/>
        </w:rPr>
      </w:pPr>
      <w:r w:rsidRPr="00882976">
        <w:rPr>
          <w:rFonts w:cs="Arial"/>
        </w:rPr>
        <w:t>Financial Assessments (increased income) (£1.200m) – This is a process that the team undertake currently as resources permit, but was completed more comprehensively historically due to increased time and resources that the team had available to them. This process involves the financial assessment officer working with the service user to maximise the benefits that they are entitled to such as Attendance Allowance. Through the calculation of the financial assessment</w:t>
      </w:r>
      <w:r>
        <w:rPr>
          <w:rFonts w:cs="Arial"/>
        </w:rPr>
        <w:t>, which determines an individual's ability to contribute towards the cost of their care,</w:t>
      </w:r>
      <w:r w:rsidRPr="00882976">
        <w:rPr>
          <w:rFonts w:cs="Arial"/>
        </w:rPr>
        <w:t xml:space="preserve"> this will result</w:t>
      </w:r>
      <w:r>
        <w:rPr>
          <w:rFonts w:cs="Arial"/>
        </w:rPr>
        <w:t xml:space="preserve"> in a proportion of the additional benefits received meeting an additional</w:t>
      </w:r>
      <w:r w:rsidRPr="00882976">
        <w:rPr>
          <w:rFonts w:cs="Arial"/>
        </w:rPr>
        <w:t xml:space="preserve"> contribution to</w:t>
      </w:r>
      <w:r>
        <w:rPr>
          <w:rFonts w:cs="Arial"/>
        </w:rPr>
        <w:t>wards</w:t>
      </w:r>
      <w:r w:rsidRPr="00882976">
        <w:rPr>
          <w:rFonts w:cs="Arial"/>
        </w:rPr>
        <w:t xml:space="preserve"> the</w:t>
      </w:r>
      <w:r>
        <w:rPr>
          <w:rFonts w:cs="Arial"/>
        </w:rPr>
        <w:t xml:space="preserve"> cost of the</w:t>
      </w:r>
      <w:r w:rsidRPr="00882976">
        <w:rPr>
          <w:rFonts w:cs="Arial"/>
        </w:rPr>
        <w:t xml:space="preserve"> care services </w:t>
      </w:r>
      <w:r>
        <w:rPr>
          <w:rFonts w:cs="Arial"/>
        </w:rPr>
        <w:t xml:space="preserve">commissioned </w:t>
      </w:r>
      <w:r w:rsidRPr="00882976">
        <w:rPr>
          <w:rFonts w:cs="Arial"/>
        </w:rPr>
        <w:t xml:space="preserve"> by the County Council. It is anticipated that with more focus to this process the additional income levels can be achieved. </w:t>
      </w:r>
    </w:p>
    <w:p w14:paraId="1660AE0F" w14:textId="77777777" w:rsidR="00743528" w:rsidRDefault="00743528" w:rsidP="00743528">
      <w:pPr>
        <w:tabs>
          <w:tab w:val="left" w:pos="567"/>
          <w:tab w:val="left" w:pos="1134"/>
        </w:tabs>
        <w:spacing w:after="0"/>
        <w:ind w:left="142"/>
        <w:rPr>
          <w:rFonts w:cs="Arial"/>
        </w:rPr>
      </w:pPr>
    </w:p>
    <w:p w14:paraId="1602288E" w14:textId="77777777" w:rsidR="00743528" w:rsidRDefault="00743528" w:rsidP="00743528">
      <w:pPr>
        <w:tabs>
          <w:tab w:val="left" w:pos="567"/>
          <w:tab w:val="left" w:pos="1134"/>
        </w:tabs>
        <w:spacing w:after="0"/>
        <w:ind w:left="142"/>
        <w:rPr>
          <w:rFonts w:cs="Arial"/>
        </w:rPr>
      </w:pPr>
    </w:p>
    <w:p w14:paraId="763B029F" w14:textId="07CE74BA" w:rsidR="00F84389" w:rsidRPr="00743528" w:rsidRDefault="0061062C" w:rsidP="00743528">
      <w:pPr>
        <w:tabs>
          <w:tab w:val="left" w:pos="567"/>
          <w:tab w:val="left" w:pos="1134"/>
        </w:tabs>
        <w:spacing w:after="0"/>
        <w:ind w:left="142"/>
        <w:rPr>
          <w:rFonts w:cs="Arial"/>
        </w:rPr>
      </w:pPr>
      <w:r w:rsidRPr="00743528">
        <w:rPr>
          <w:rFonts w:cs="Arial"/>
        </w:rPr>
        <w:t xml:space="preserve"> </w:t>
      </w:r>
    </w:p>
    <w:p w14:paraId="4EA6F999" w14:textId="77777777" w:rsidR="00E92B22" w:rsidRPr="00882976" w:rsidRDefault="00E92B22" w:rsidP="00A34966">
      <w:pPr>
        <w:tabs>
          <w:tab w:val="left" w:pos="567"/>
          <w:tab w:val="left" w:pos="1134"/>
        </w:tabs>
        <w:spacing w:after="0"/>
        <w:rPr>
          <w:rFonts w:cs="Arial"/>
          <w:b/>
        </w:rPr>
      </w:pPr>
    </w:p>
    <w:p w14:paraId="246D7C18" w14:textId="28892ECD" w:rsidR="00A34966" w:rsidRPr="00882976" w:rsidRDefault="00A34966" w:rsidP="00A34966">
      <w:pPr>
        <w:tabs>
          <w:tab w:val="left" w:pos="567"/>
          <w:tab w:val="left" w:pos="1134"/>
        </w:tabs>
        <w:spacing w:after="0"/>
        <w:rPr>
          <w:rFonts w:cs="Arial"/>
          <w:b/>
        </w:rPr>
      </w:pPr>
      <w:r w:rsidRPr="00882976">
        <w:rPr>
          <w:rFonts w:cs="Arial"/>
          <w:b/>
        </w:rPr>
        <w:lastRenderedPageBreak/>
        <w:t>3.7 Re-profiled Savings</w:t>
      </w:r>
    </w:p>
    <w:p w14:paraId="40BC1E21" w14:textId="77777777" w:rsidR="00E92B22" w:rsidRPr="00882976" w:rsidRDefault="00E92B22" w:rsidP="00A34966">
      <w:pPr>
        <w:tabs>
          <w:tab w:val="left" w:pos="567"/>
          <w:tab w:val="left" w:pos="1134"/>
        </w:tabs>
        <w:spacing w:after="0"/>
        <w:rPr>
          <w:rFonts w:cs="Arial"/>
          <w:b/>
        </w:rPr>
      </w:pPr>
    </w:p>
    <w:p w14:paraId="6155676C" w14:textId="0B69BA01" w:rsidR="00A34966" w:rsidRDefault="00E92B22" w:rsidP="00A34966">
      <w:pPr>
        <w:tabs>
          <w:tab w:val="left" w:pos="567"/>
          <w:tab w:val="left" w:pos="1134"/>
        </w:tabs>
        <w:spacing w:after="0"/>
        <w:rPr>
          <w:rFonts w:cs="Arial"/>
        </w:rPr>
      </w:pPr>
      <w:r w:rsidRPr="00882976">
        <w:rPr>
          <w:rFonts w:cs="Arial"/>
        </w:rPr>
        <w:t>Following further detailed work with Newton Europe surrounding the Adults Saving programme the saving has been re</w:t>
      </w:r>
      <w:r w:rsidR="008208B2">
        <w:rPr>
          <w:rFonts w:cs="Arial"/>
        </w:rPr>
        <w:t>-</w:t>
      </w:r>
      <w:r w:rsidRPr="00882976">
        <w:rPr>
          <w:rFonts w:cs="Arial"/>
        </w:rPr>
        <w:t xml:space="preserve">profiled. This results in reduced savings in 2017/18 but the savings are achieved in later years. </w:t>
      </w:r>
    </w:p>
    <w:p w14:paraId="1A3027B3" w14:textId="77777777" w:rsidR="008208B2" w:rsidRDefault="008208B2" w:rsidP="00A34966">
      <w:pPr>
        <w:tabs>
          <w:tab w:val="left" w:pos="567"/>
          <w:tab w:val="left" w:pos="1134"/>
        </w:tabs>
        <w:spacing w:after="0"/>
        <w:rPr>
          <w:rFonts w:cs="Arial"/>
        </w:rPr>
      </w:pPr>
    </w:p>
    <w:p w14:paraId="446FADC2" w14:textId="77777777" w:rsidR="008208B2" w:rsidRPr="00882976" w:rsidRDefault="008208B2" w:rsidP="00A34966">
      <w:pPr>
        <w:tabs>
          <w:tab w:val="left" w:pos="567"/>
          <w:tab w:val="left" w:pos="1134"/>
        </w:tabs>
        <w:spacing w:after="0"/>
        <w:rPr>
          <w:rFonts w:cs="Arial"/>
        </w:rPr>
      </w:pPr>
    </w:p>
    <w:p w14:paraId="2BC778E4" w14:textId="77777777" w:rsidR="00B756C8" w:rsidRPr="00882976" w:rsidRDefault="00B756C8" w:rsidP="00B756C8">
      <w:pPr>
        <w:pStyle w:val="ListParagraph"/>
        <w:tabs>
          <w:tab w:val="left" w:pos="567"/>
          <w:tab w:val="left" w:pos="1134"/>
        </w:tabs>
        <w:spacing w:after="0"/>
        <w:ind w:left="502"/>
        <w:rPr>
          <w:rFonts w:cs="Arial"/>
        </w:rPr>
      </w:pPr>
    </w:p>
    <w:p w14:paraId="3F692960" w14:textId="77777777" w:rsidR="00194D1E" w:rsidRPr="00882976" w:rsidRDefault="004D3311" w:rsidP="008D5D96">
      <w:pPr>
        <w:tabs>
          <w:tab w:val="left" w:pos="567"/>
          <w:tab w:val="left" w:pos="1134"/>
        </w:tabs>
        <w:spacing w:after="0"/>
        <w:rPr>
          <w:rFonts w:cs="Arial"/>
          <w:b/>
        </w:rPr>
      </w:pPr>
      <w:r w:rsidRPr="00882976">
        <w:rPr>
          <w:rFonts w:cs="Arial"/>
          <w:b/>
        </w:rPr>
        <w:t>4</w:t>
      </w:r>
      <w:r w:rsidR="00EB3E0F" w:rsidRPr="00882976">
        <w:rPr>
          <w:rFonts w:cs="Arial"/>
          <w:b/>
        </w:rPr>
        <w:t>.</w:t>
      </w:r>
      <w:r w:rsidR="00EB3E0F" w:rsidRPr="00882976">
        <w:rPr>
          <w:rFonts w:cs="Arial"/>
          <w:b/>
        </w:rPr>
        <w:tab/>
        <w:t>Future Risks</w:t>
      </w:r>
      <w:r w:rsidR="00064B2E" w:rsidRPr="00882976">
        <w:rPr>
          <w:rFonts w:cs="Arial"/>
          <w:b/>
        </w:rPr>
        <w:t xml:space="preserve"> </w:t>
      </w:r>
    </w:p>
    <w:p w14:paraId="40652AB5" w14:textId="77777777" w:rsidR="000C0795" w:rsidRPr="00882976" w:rsidRDefault="000C0795" w:rsidP="008D5D96">
      <w:pPr>
        <w:tabs>
          <w:tab w:val="left" w:pos="567"/>
          <w:tab w:val="left" w:pos="1134"/>
        </w:tabs>
        <w:spacing w:after="0"/>
        <w:rPr>
          <w:rFonts w:cs="Arial"/>
          <w:b/>
        </w:rPr>
      </w:pPr>
    </w:p>
    <w:p w14:paraId="04242BA3" w14:textId="2FB9C5DD" w:rsidR="00194D1E" w:rsidRPr="00882976" w:rsidRDefault="00E3540A" w:rsidP="00194D1E">
      <w:pPr>
        <w:tabs>
          <w:tab w:val="left" w:pos="567"/>
          <w:tab w:val="left" w:pos="1134"/>
        </w:tabs>
        <w:spacing w:after="0"/>
        <w:rPr>
          <w:rFonts w:cs="Arial"/>
        </w:rPr>
      </w:pPr>
      <w:r w:rsidRPr="00882976">
        <w:rPr>
          <w:rFonts w:cs="Arial"/>
        </w:rPr>
        <w:t>In addition to the economic uncertainty post-Brexit outlined earlier in the report, t</w:t>
      </w:r>
      <w:r w:rsidR="00194D1E" w:rsidRPr="00882976">
        <w:rPr>
          <w:rFonts w:cs="Arial"/>
        </w:rPr>
        <w:t xml:space="preserve">he following are key future risks, the full impact of which is not </w:t>
      </w:r>
      <w:r w:rsidR="00BD7FC9" w:rsidRPr="00882976">
        <w:rPr>
          <w:rFonts w:cs="Arial"/>
        </w:rPr>
        <w:t xml:space="preserve">yet </w:t>
      </w:r>
      <w:r w:rsidR="00194D1E" w:rsidRPr="00882976">
        <w:rPr>
          <w:rFonts w:cs="Arial"/>
        </w:rPr>
        <w:t>known at this stage:</w:t>
      </w:r>
    </w:p>
    <w:p w14:paraId="4DA4BD6F" w14:textId="77777777" w:rsidR="00FB7968" w:rsidRPr="00882976" w:rsidRDefault="00FB7968" w:rsidP="00194D1E">
      <w:pPr>
        <w:tabs>
          <w:tab w:val="left" w:pos="567"/>
          <w:tab w:val="left" w:pos="1134"/>
        </w:tabs>
        <w:spacing w:after="0"/>
        <w:rPr>
          <w:rFonts w:cs="Arial"/>
        </w:rPr>
      </w:pPr>
    </w:p>
    <w:p w14:paraId="5C103DB7" w14:textId="6BFD6A4F" w:rsidR="004C52A6" w:rsidRPr="00882976" w:rsidRDefault="004C52A6" w:rsidP="00194D1E">
      <w:pPr>
        <w:tabs>
          <w:tab w:val="left" w:pos="567"/>
          <w:tab w:val="left" w:pos="1134"/>
        </w:tabs>
        <w:spacing w:after="0"/>
        <w:rPr>
          <w:rFonts w:cs="Arial"/>
          <w:b/>
        </w:rPr>
      </w:pPr>
      <w:r w:rsidRPr="00882976">
        <w:rPr>
          <w:rFonts w:cs="Arial"/>
          <w:b/>
        </w:rPr>
        <w:t xml:space="preserve">4.1 </w:t>
      </w:r>
      <w:r w:rsidR="00FB7968" w:rsidRPr="00882976">
        <w:rPr>
          <w:rFonts w:cs="Arial"/>
          <w:b/>
        </w:rPr>
        <w:t>Agreed Savings Plans Delivery</w:t>
      </w:r>
    </w:p>
    <w:p w14:paraId="09F50FCD" w14:textId="77777777" w:rsidR="00B1743E" w:rsidRPr="00882976" w:rsidRDefault="00B1743E" w:rsidP="00B1743E">
      <w:pPr>
        <w:pStyle w:val="PlainText"/>
        <w:rPr>
          <w:rFonts w:ascii="Arial" w:hAnsi="Arial" w:cs="Arial"/>
          <w:sz w:val="24"/>
          <w:szCs w:val="24"/>
        </w:rPr>
      </w:pPr>
    </w:p>
    <w:p w14:paraId="04556D43" w14:textId="77777777" w:rsidR="00B1743E" w:rsidRPr="00882976" w:rsidRDefault="00B1743E" w:rsidP="00B1743E">
      <w:pPr>
        <w:pStyle w:val="PlainText"/>
        <w:rPr>
          <w:rFonts w:ascii="Arial" w:hAnsi="Arial" w:cs="Arial"/>
          <w:sz w:val="24"/>
          <w:szCs w:val="24"/>
        </w:rPr>
      </w:pPr>
      <w:r w:rsidRPr="00882976">
        <w:rPr>
          <w:rFonts w:ascii="Arial" w:hAnsi="Arial" w:cs="Arial"/>
          <w:sz w:val="24"/>
          <w:szCs w:val="24"/>
        </w:rPr>
        <w:t>The scale of agreed savings is hugely significant given both the scale and areas covered, and there are inherent risks in their delivery.  Any significant under-delivery of agreed savings will create an additional funding gap and impact on the ongoing and longer-term financial health of the Council.  This has been identified as one of the highest level risks in the Risk and Opportunity Register.  There are comprehensive arrangements in place to track delivery of financial savings and take corrective actions where required.</w:t>
      </w:r>
    </w:p>
    <w:p w14:paraId="00A72596" w14:textId="77777777" w:rsidR="00FB7968" w:rsidRPr="00882976" w:rsidRDefault="00FB7968" w:rsidP="00194D1E">
      <w:pPr>
        <w:tabs>
          <w:tab w:val="left" w:pos="567"/>
          <w:tab w:val="left" w:pos="1134"/>
        </w:tabs>
        <w:spacing w:after="0"/>
        <w:rPr>
          <w:rFonts w:cs="Arial"/>
        </w:rPr>
      </w:pPr>
    </w:p>
    <w:p w14:paraId="2759A1AB" w14:textId="37D8E858" w:rsidR="00FB7968" w:rsidRPr="00882976" w:rsidRDefault="004C52A6" w:rsidP="00194D1E">
      <w:pPr>
        <w:tabs>
          <w:tab w:val="left" w:pos="567"/>
          <w:tab w:val="left" w:pos="1134"/>
        </w:tabs>
        <w:spacing w:after="0"/>
        <w:rPr>
          <w:rFonts w:cs="Arial"/>
          <w:b/>
        </w:rPr>
      </w:pPr>
      <w:r w:rsidRPr="00882976">
        <w:rPr>
          <w:rFonts w:cs="Arial"/>
          <w:b/>
        </w:rPr>
        <w:t xml:space="preserve">4.2 </w:t>
      </w:r>
      <w:r w:rsidR="00FB7968" w:rsidRPr="00882976">
        <w:rPr>
          <w:rFonts w:cs="Arial"/>
          <w:b/>
        </w:rPr>
        <w:t>Identification of Further Savings Opportunities</w:t>
      </w:r>
    </w:p>
    <w:p w14:paraId="349BDD1D" w14:textId="77777777" w:rsidR="00FB7968" w:rsidRPr="00882976" w:rsidRDefault="00FB7968" w:rsidP="00194D1E">
      <w:pPr>
        <w:tabs>
          <w:tab w:val="left" w:pos="567"/>
          <w:tab w:val="left" w:pos="1134"/>
        </w:tabs>
        <w:spacing w:after="0"/>
        <w:rPr>
          <w:rFonts w:cs="Arial"/>
        </w:rPr>
      </w:pPr>
    </w:p>
    <w:p w14:paraId="4F9A429F" w14:textId="3D30CE75" w:rsidR="00B1743E" w:rsidRPr="00882976" w:rsidRDefault="00B1743E" w:rsidP="00B1743E">
      <w:pPr>
        <w:tabs>
          <w:tab w:val="left" w:pos="567"/>
          <w:tab w:val="left" w:pos="1134"/>
        </w:tabs>
        <w:spacing w:after="0"/>
        <w:rPr>
          <w:rFonts w:cs="Arial"/>
        </w:rPr>
      </w:pPr>
      <w:r w:rsidRPr="00882976">
        <w:rPr>
          <w:rFonts w:cs="Arial"/>
        </w:rPr>
        <w:t xml:space="preserve">Cabinet has </w:t>
      </w:r>
      <w:r w:rsidR="00777022" w:rsidRPr="00882976">
        <w:rPr>
          <w:rFonts w:cs="Arial"/>
        </w:rPr>
        <w:t xml:space="preserve">previously </w:t>
      </w:r>
      <w:r w:rsidRPr="00882976">
        <w:rPr>
          <w:rFonts w:cs="Arial"/>
        </w:rPr>
        <w:t>agreed a financial strategy based on:</w:t>
      </w:r>
    </w:p>
    <w:p w14:paraId="08AF69BF" w14:textId="77777777" w:rsidR="00B1743E" w:rsidRPr="00882976" w:rsidRDefault="00B1743E" w:rsidP="00B1743E">
      <w:pPr>
        <w:tabs>
          <w:tab w:val="left" w:pos="567"/>
          <w:tab w:val="left" w:pos="1134"/>
        </w:tabs>
        <w:spacing w:after="0"/>
        <w:rPr>
          <w:rFonts w:cs="Arial"/>
        </w:rPr>
      </w:pPr>
    </w:p>
    <w:p w14:paraId="538DEE0E" w14:textId="62A5AB74" w:rsidR="00B1743E" w:rsidRPr="00882976" w:rsidRDefault="00B1743E" w:rsidP="00882976">
      <w:pPr>
        <w:pStyle w:val="ListParagraph"/>
        <w:numPr>
          <w:ilvl w:val="0"/>
          <w:numId w:val="30"/>
        </w:numPr>
        <w:tabs>
          <w:tab w:val="left" w:pos="567"/>
          <w:tab w:val="left" w:pos="1134"/>
        </w:tabs>
        <w:spacing w:after="0"/>
        <w:ind w:left="567"/>
        <w:rPr>
          <w:rFonts w:cs="Arial"/>
        </w:rPr>
      </w:pPr>
      <w:r w:rsidRPr="00882976">
        <w:rPr>
          <w:rFonts w:cs="Arial"/>
        </w:rPr>
        <w:t>Setting an expenditure target for service expenditure levels to move in line with the lower quartile of the most appropriate group of local authorities for individual services.</w:t>
      </w:r>
    </w:p>
    <w:p w14:paraId="4C786761" w14:textId="77777777" w:rsidR="00B1743E" w:rsidRPr="00882976" w:rsidRDefault="00B1743E" w:rsidP="00B1743E">
      <w:pPr>
        <w:pStyle w:val="ListParagraph"/>
        <w:tabs>
          <w:tab w:val="left" w:pos="567"/>
          <w:tab w:val="left" w:pos="1134"/>
        </w:tabs>
        <w:spacing w:after="0"/>
        <w:rPr>
          <w:rFonts w:cs="Arial"/>
        </w:rPr>
      </w:pPr>
    </w:p>
    <w:p w14:paraId="00578A92" w14:textId="16614B08" w:rsidR="00B1743E" w:rsidRPr="00882976" w:rsidRDefault="00B1743E" w:rsidP="00882976">
      <w:pPr>
        <w:pStyle w:val="ListParagraph"/>
        <w:numPr>
          <w:ilvl w:val="0"/>
          <w:numId w:val="30"/>
        </w:numPr>
        <w:tabs>
          <w:tab w:val="left" w:pos="567"/>
          <w:tab w:val="left" w:pos="1134"/>
        </w:tabs>
        <w:spacing w:after="0"/>
        <w:ind w:left="567"/>
        <w:rPr>
          <w:rFonts w:cs="Arial"/>
        </w:rPr>
      </w:pPr>
      <w:r w:rsidRPr="00882976">
        <w:rPr>
          <w:rFonts w:cs="Arial"/>
        </w:rPr>
        <w:t xml:space="preserve">Stage 3 of the base budget review being the zero base with a fundamental review of all expenditure within services to ensure the best value for money.  </w:t>
      </w:r>
      <w:r w:rsidR="00777022" w:rsidRPr="00882976">
        <w:rPr>
          <w:rFonts w:cs="Arial"/>
        </w:rPr>
        <w:t>The outcome of this w</w:t>
      </w:r>
      <w:r w:rsidRPr="00882976">
        <w:rPr>
          <w:rFonts w:cs="Arial"/>
        </w:rPr>
        <w:t xml:space="preserve">ork is </w:t>
      </w:r>
      <w:r w:rsidR="00777022" w:rsidRPr="00882976">
        <w:rPr>
          <w:rFonts w:cs="Arial"/>
        </w:rPr>
        <w:t xml:space="preserve">included on this agenda as a separate report and the impact included within this report.  </w:t>
      </w:r>
    </w:p>
    <w:p w14:paraId="5F506CC2" w14:textId="77777777" w:rsidR="00777022" w:rsidRPr="00882976" w:rsidRDefault="00777022" w:rsidP="00777022">
      <w:pPr>
        <w:pStyle w:val="ListParagraph"/>
        <w:rPr>
          <w:rFonts w:cs="Arial"/>
        </w:rPr>
      </w:pPr>
    </w:p>
    <w:p w14:paraId="19DDAD10" w14:textId="15868B5D" w:rsidR="00B1743E" w:rsidRPr="00882976" w:rsidRDefault="00777022" w:rsidP="00882976">
      <w:pPr>
        <w:pStyle w:val="ListParagraph"/>
        <w:numPr>
          <w:ilvl w:val="0"/>
          <w:numId w:val="30"/>
        </w:numPr>
        <w:tabs>
          <w:tab w:val="left" w:pos="567"/>
          <w:tab w:val="left" w:pos="1134"/>
        </w:tabs>
        <w:spacing w:after="0"/>
        <w:ind w:left="567"/>
        <w:rPr>
          <w:rFonts w:cs="Arial"/>
        </w:rPr>
      </w:pPr>
      <w:r w:rsidRPr="00882976">
        <w:rPr>
          <w:rFonts w:cs="Arial"/>
        </w:rPr>
        <w:t>PwC are a</w:t>
      </w:r>
      <w:r w:rsidR="00B1743E" w:rsidRPr="00882976">
        <w:rPr>
          <w:rFonts w:cs="Arial"/>
        </w:rPr>
        <w:t>ssist</w:t>
      </w:r>
      <w:r w:rsidRPr="00882976">
        <w:rPr>
          <w:rFonts w:cs="Arial"/>
        </w:rPr>
        <w:t>ing</w:t>
      </w:r>
      <w:r w:rsidR="00B1743E" w:rsidRPr="00882976">
        <w:rPr>
          <w:rFonts w:cs="Arial"/>
        </w:rPr>
        <w:t xml:space="preserve"> the council in scoping and undertaking </w:t>
      </w:r>
      <w:r w:rsidR="00622899" w:rsidRPr="00882976">
        <w:rPr>
          <w:rFonts w:cs="Arial"/>
        </w:rPr>
        <w:t xml:space="preserve">the review prioritising </w:t>
      </w:r>
      <w:r w:rsidR="00B1743E" w:rsidRPr="00882976">
        <w:rPr>
          <w:rFonts w:cs="Arial"/>
        </w:rPr>
        <w:t xml:space="preserve">development of a public services operating </w:t>
      </w:r>
      <w:r w:rsidR="00622899" w:rsidRPr="00882976">
        <w:rPr>
          <w:rFonts w:cs="Arial"/>
        </w:rPr>
        <w:t>strategy</w:t>
      </w:r>
      <w:r w:rsidR="00B1743E" w:rsidRPr="00882976">
        <w:rPr>
          <w:rFonts w:cs="Arial"/>
        </w:rPr>
        <w:t xml:space="preserve"> for the County Council to enable it to be sustainable within its forecast financial resource envelope by 2020/21.</w:t>
      </w:r>
      <w:r w:rsidRPr="00882976">
        <w:rPr>
          <w:rFonts w:cs="Arial"/>
        </w:rPr>
        <w:t xml:space="preserve">  This is ongoing with the outcomes from this work to be presented at future Cabinet meetings.  The scale of any additional savings that are agreed arising from this review would then be included within a future update of the MTFS. </w:t>
      </w:r>
    </w:p>
    <w:p w14:paraId="4C1CF66C" w14:textId="77777777" w:rsidR="00B1743E" w:rsidRPr="00882976" w:rsidRDefault="00B1743E" w:rsidP="00B1743E">
      <w:pPr>
        <w:pStyle w:val="ListParagraph"/>
        <w:rPr>
          <w:rFonts w:cs="Arial"/>
        </w:rPr>
      </w:pPr>
    </w:p>
    <w:p w14:paraId="659D37D7" w14:textId="34778065" w:rsidR="00622899" w:rsidRPr="00882976" w:rsidRDefault="00B1743E" w:rsidP="00882976">
      <w:pPr>
        <w:pStyle w:val="ListParagraph"/>
        <w:numPr>
          <w:ilvl w:val="0"/>
          <w:numId w:val="30"/>
        </w:numPr>
        <w:tabs>
          <w:tab w:val="left" w:pos="567"/>
          <w:tab w:val="left" w:pos="1134"/>
        </w:tabs>
        <w:spacing w:after="0"/>
        <w:ind w:left="567"/>
        <w:rPr>
          <w:rFonts w:cs="Arial"/>
        </w:rPr>
      </w:pPr>
      <w:r w:rsidRPr="00882976">
        <w:rPr>
          <w:rFonts w:cs="Arial"/>
        </w:rPr>
        <w:t>Transformational work across Adult Social Care aimed at both improving systems and processes and delivering sign</w:t>
      </w:r>
      <w:r w:rsidR="00777022" w:rsidRPr="00882976">
        <w:rPr>
          <w:rFonts w:cs="Arial"/>
        </w:rPr>
        <w:t>ificant financial savings.  T</w:t>
      </w:r>
      <w:r w:rsidRPr="00882976">
        <w:rPr>
          <w:rFonts w:cs="Arial"/>
        </w:rPr>
        <w:t>he overall scale and phasing of benefits from the review</w:t>
      </w:r>
      <w:r w:rsidR="00777022" w:rsidRPr="00882976">
        <w:rPr>
          <w:rFonts w:cs="Arial"/>
        </w:rPr>
        <w:t xml:space="preserve"> has now been finalised and included in the revised position within this report.</w:t>
      </w:r>
    </w:p>
    <w:p w14:paraId="6E94DCA2" w14:textId="77777777" w:rsidR="00B1743E" w:rsidRPr="00882976" w:rsidRDefault="00B1743E" w:rsidP="00B1743E">
      <w:pPr>
        <w:tabs>
          <w:tab w:val="left" w:pos="567"/>
          <w:tab w:val="left" w:pos="1134"/>
        </w:tabs>
        <w:spacing w:after="0"/>
        <w:rPr>
          <w:rFonts w:cs="Arial"/>
        </w:rPr>
      </w:pPr>
    </w:p>
    <w:p w14:paraId="3DFB99E4" w14:textId="17563FAE" w:rsidR="00FB7968" w:rsidRPr="00882976" w:rsidRDefault="004C52A6" w:rsidP="00194D1E">
      <w:pPr>
        <w:tabs>
          <w:tab w:val="left" w:pos="567"/>
          <w:tab w:val="left" w:pos="1134"/>
        </w:tabs>
        <w:spacing w:after="0"/>
        <w:rPr>
          <w:rFonts w:cs="Arial"/>
          <w:b/>
        </w:rPr>
      </w:pPr>
      <w:r w:rsidRPr="00882976">
        <w:rPr>
          <w:rFonts w:cs="Arial"/>
          <w:b/>
        </w:rPr>
        <w:t xml:space="preserve">4.3 </w:t>
      </w:r>
      <w:r w:rsidR="00FB7968" w:rsidRPr="00882976">
        <w:rPr>
          <w:rFonts w:cs="Arial"/>
          <w:b/>
        </w:rPr>
        <w:t xml:space="preserve">Business Rates Retention / Changes to </w:t>
      </w:r>
      <w:r w:rsidR="00E3540A" w:rsidRPr="00882976">
        <w:rPr>
          <w:rFonts w:cs="Arial"/>
          <w:b/>
        </w:rPr>
        <w:t>Funding Formula</w:t>
      </w:r>
    </w:p>
    <w:p w14:paraId="043A4B32" w14:textId="77777777" w:rsidR="00B1743E" w:rsidRPr="00882976" w:rsidRDefault="00B1743E" w:rsidP="00194D1E">
      <w:pPr>
        <w:tabs>
          <w:tab w:val="left" w:pos="567"/>
          <w:tab w:val="left" w:pos="1134"/>
        </w:tabs>
        <w:spacing w:after="0"/>
        <w:rPr>
          <w:rFonts w:cs="Arial"/>
          <w:b/>
        </w:rPr>
      </w:pPr>
    </w:p>
    <w:p w14:paraId="59800F16" w14:textId="77777777" w:rsidR="00777022" w:rsidRPr="00882976" w:rsidRDefault="00B1743E" w:rsidP="00B1743E">
      <w:pPr>
        <w:tabs>
          <w:tab w:val="left" w:pos="567"/>
          <w:tab w:val="left" w:pos="1134"/>
        </w:tabs>
        <w:spacing w:after="0"/>
        <w:rPr>
          <w:rFonts w:cs="Arial"/>
        </w:rPr>
      </w:pPr>
      <w:r w:rsidRPr="00882976">
        <w:rPr>
          <w:rFonts w:cs="Arial"/>
        </w:rPr>
        <w:t xml:space="preserve">In 2015 the Chancellor announced that local government as a whole would be able to keep 100% of business rates by 2020.  Using Office for Budget Responsibility (OBR) forecasts the Government has estimated that additional business rates kept by councils will be c£13bn by 2020/21 with the intention to transfer new responsibilities to local government to ensure cost neutrality overall of the funding changes.  There is currently a system of redistribution (top-ups and tariffs) to reflect there are councils with relatively higher needs but lower income from business rates and vice versa.  The Secretary of State for Communities and Local Government has also announced a full review of needs and redistribution which will be use as the starting point for the new system when it comes into force.  </w:t>
      </w:r>
    </w:p>
    <w:p w14:paraId="58D90185" w14:textId="77777777" w:rsidR="00777022" w:rsidRPr="00882976" w:rsidRDefault="00777022" w:rsidP="00B1743E">
      <w:pPr>
        <w:tabs>
          <w:tab w:val="left" w:pos="567"/>
          <w:tab w:val="left" w:pos="1134"/>
        </w:tabs>
        <w:spacing w:after="0"/>
        <w:rPr>
          <w:rFonts w:cs="Arial"/>
        </w:rPr>
      </w:pPr>
    </w:p>
    <w:p w14:paraId="31786727" w14:textId="6D9E1F9A" w:rsidR="00B1743E" w:rsidRPr="00882976" w:rsidRDefault="00B1743E" w:rsidP="00B1743E">
      <w:pPr>
        <w:tabs>
          <w:tab w:val="left" w:pos="567"/>
          <w:tab w:val="left" w:pos="1134"/>
        </w:tabs>
        <w:spacing w:after="0"/>
        <w:rPr>
          <w:rFonts w:cs="Arial"/>
        </w:rPr>
      </w:pPr>
      <w:r w:rsidRPr="00882976">
        <w:rPr>
          <w:rFonts w:cs="Arial"/>
        </w:rPr>
        <w:t xml:space="preserve">The County Council currently receives a top-up grant, primarily as a result of having Adult Social Care responsibilities, and there is insufficient information currently, although work is progressing nationally with a </w:t>
      </w:r>
      <w:r w:rsidR="00777022" w:rsidRPr="00882976">
        <w:rPr>
          <w:rFonts w:cs="Arial"/>
        </w:rPr>
        <w:t xml:space="preserve">number of complete and planned </w:t>
      </w:r>
      <w:r w:rsidRPr="00882976">
        <w:rPr>
          <w:rFonts w:cs="Arial"/>
        </w:rPr>
        <w:t>consultation</w:t>
      </w:r>
      <w:r w:rsidR="00777022" w:rsidRPr="00882976">
        <w:rPr>
          <w:rFonts w:cs="Arial"/>
        </w:rPr>
        <w:t>s</w:t>
      </w:r>
      <w:r w:rsidRPr="00882976">
        <w:rPr>
          <w:rFonts w:cs="Arial"/>
        </w:rPr>
        <w:t xml:space="preserve"> regarding the changes</w:t>
      </w:r>
      <w:r w:rsidR="00777022" w:rsidRPr="00882976">
        <w:rPr>
          <w:rFonts w:cs="Arial"/>
        </w:rPr>
        <w:t xml:space="preserve">, </w:t>
      </w:r>
      <w:r w:rsidRPr="00882976">
        <w:rPr>
          <w:rFonts w:cs="Arial"/>
        </w:rPr>
        <w:t>to model what the financial impact of the changes will be and the financial impact on the County Council.</w:t>
      </w:r>
    </w:p>
    <w:p w14:paraId="1B88044C" w14:textId="77777777" w:rsidR="00E3540A" w:rsidRPr="00882976" w:rsidRDefault="00E3540A" w:rsidP="00194D1E">
      <w:pPr>
        <w:tabs>
          <w:tab w:val="left" w:pos="567"/>
          <w:tab w:val="left" w:pos="1134"/>
        </w:tabs>
        <w:spacing w:after="0"/>
        <w:rPr>
          <w:rFonts w:cs="Arial"/>
          <w:highlight w:val="yellow"/>
        </w:rPr>
      </w:pPr>
    </w:p>
    <w:p w14:paraId="0AD43E59" w14:textId="62D5A32B" w:rsidR="00E3540A" w:rsidRPr="00882976" w:rsidRDefault="004C52A6" w:rsidP="00194D1E">
      <w:pPr>
        <w:tabs>
          <w:tab w:val="left" w:pos="567"/>
          <w:tab w:val="left" w:pos="1134"/>
        </w:tabs>
        <w:spacing w:after="0"/>
        <w:rPr>
          <w:rFonts w:cs="Arial"/>
          <w:b/>
        </w:rPr>
      </w:pPr>
      <w:r w:rsidRPr="00882976">
        <w:rPr>
          <w:rFonts w:cs="Arial"/>
          <w:b/>
        </w:rPr>
        <w:t xml:space="preserve">4.4 </w:t>
      </w:r>
      <w:r w:rsidR="00E3540A" w:rsidRPr="00882976">
        <w:rPr>
          <w:rFonts w:cs="Arial"/>
          <w:b/>
        </w:rPr>
        <w:t>STP</w:t>
      </w:r>
    </w:p>
    <w:p w14:paraId="27DC5019" w14:textId="77777777" w:rsidR="00FB7968" w:rsidRPr="00882976" w:rsidRDefault="00FB7968" w:rsidP="00194D1E">
      <w:pPr>
        <w:tabs>
          <w:tab w:val="left" w:pos="567"/>
          <w:tab w:val="left" w:pos="1134"/>
        </w:tabs>
        <w:spacing w:after="0"/>
        <w:rPr>
          <w:rFonts w:cs="Arial"/>
        </w:rPr>
      </w:pPr>
    </w:p>
    <w:p w14:paraId="4CE36E62" w14:textId="2BD36BBC" w:rsidR="00B1743E" w:rsidRPr="00882976" w:rsidRDefault="00B1743E" w:rsidP="00B1743E">
      <w:pPr>
        <w:tabs>
          <w:tab w:val="left" w:pos="567"/>
          <w:tab w:val="left" w:pos="1134"/>
        </w:tabs>
        <w:spacing w:after="0"/>
        <w:rPr>
          <w:rFonts w:cs="Arial"/>
        </w:rPr>
      </w:pPr>
      <w:r w:rsidRPr="00882976">
        <w:rPr>
          <w:rFonts w:cs="Arial"/>
        </w:rPr>
        <w:t>Since 2015 the County Council has been a partner organisation in the Bette</w:t>
      </w:r>
      <w:r w:rsidR="00A844AF" w:rsidRPr="00882976">
        <w:rPr>
          <w:rFonts w:cs="Arial"/>
        </w:rPr>
        <w:t>r Care Fund planning and pooled budget</w:t>
      </w:r>
      <w:r w:rsidRPr="00882976">
        <w:rPr>
          <w:rFonts w:cs="Arial"/>
        </w:rPr>
        <w:t xml:space="preserve"> arrangements with Clinical Commissioning Groups (CCG's).  Building on this is the requirement for every part of the NHS to have a locally led Sustainability and Transformation Plan (STP) in place by 2017.  This is within the context of the substantial financial challenges for the health and social care system in Lancashire and will necessarily involve the development of new delivery models and ways of working to minimise the impact of funding reductions and provide a better offer for patients and service users.</w:t>
      </w:r>
    </w:p>
    <w:p w14:paraId="53A8A0EB" w14:textId="77777777" w:rsidR="00C64265" w:rsidRPr="00882976" w:rsidRDefault="00C64265" w:rsidP="00B1743E">
      <w:pPr>
        <w:tabs>
          <w:tab w:val="left" w:pos="567"/>
          <w:tab w:val="left" w:pos="1134"/>
        </w:tabs>
        <w:spacing w:after="0"/>
        <w:rPr>
          <w:rFonts w:cs="Arial"/>
        </w:rPr>
      </w:pPr>
    </w:p>
    <w:p w14:paraId="073230C4" w14:textId="3A3592EE" w:rsidR="00C64265" w:rsidRPr="00882976" w:rsidRDefault="00C64265" w:rsidP="00B1743E">
      <w:pPr>
        <w:tabs>
          <w:tab w:val="left" w:pos="567"/>
          <w:tab w:val="left" w:pos="1134"/>
        </w:tabs>
        <w:spacing w:after="0"/>
        <w:rPr>
          <w:rFonts w:cs="Arial"/>
          <w:b/>
        </w:rPr>
      </w:pPr>
      <w:r w:rsidRPr="00882976">
        <w:rPr>
          <w:rFonts w:cs="Arial"/>
          <w:b/>
        </w:rPr>
        <w:t>4.5 Children's Social Care</w:t>
      </w:r>
    </w:p>
    <w:p w14:paraId="2B857711" w14:textId="77777777" w:rsidR="00C64265" w:rsidRPr="00882976" w:rsidRDefault="00C64265" w:rsidP="00B1743E">
      <w:pPr>
        <w:tabs>
          <w:tab w:val="left" w:pos="567"/>
          <w:tab w:val="left" w:pos="1134"/>
        </w:tabs>
        <w:spacing w:after="0"/>
        <w:rPr>
          <w:rFonts w:cs="Arial"/>
          <w:b/>
        </w:rPr>
      </w:pPr>
    </w:p>
    <w:p w14:paraId="34528070" w14:textId="6AD044A6" w:rsidR="00C64265" w:rsidRPr="00882976" w:rsidRDefault="00C64265" w:rsidP="00B1743E">
      <w:pPr>
        <w:tabs>
          <w:tab w:val="left" w:pos="567"/>
          <w:tab w:val="left" w:pos="1134"/>
        </w:tabs>
        <w:spacing w:after="0"/>
        <w:rPr>
          <w:rFonts w:cs="Arial"/>
        </w:rPr>
      </w:pPr>
      <w:r w:rsidRPr="00882976">
        <w:rPr>
          <w:rFonts w:cs="Arial"/>
        </w:rPr>
        <w:t xml:space="preserve">Children's Social Care is currently reporting </w:t>
      </w:r>
      <w:proofErr w:type="gramStart"/>
      <w:r w:rsidRPr="00882976">
        <w:rPr>
          <w:rFonts w:cs="Arial"/>
        </w:rPr>
        <w:t>an overspend</w:t>
      </w:r>
      <w:proofErr w:type="gramEnd"/>
      <w:r w:rsidRPr="00882976">
        <w:rPr>
          <w:rFonts w:cs="Arial"/>
        </w:rPr>
        <w:t xml:space="preserve"> of £17.736m with demand levels continuing to increase, particularly within agency residential placements. The establishment of the 0-25 Programme Board in addition to a supporting Finance Sub Group are critical in analysing the current and future levels of demand and working to develop demand management across the service. However if demand levels are not controlled then there will be substantial additional costs to the County Council that are not currently reflected within this MTFS. </w:t>
      </w:r>
    </w:p>
    <w:p w14:paraId="6754B6C6" w14:textId="77777777" w:rsidR="000822AF" w:rsidRPr="00882976" w:rsidRDefault="000822AF" w:rsidP="00B1743E">
      <w:pPr>
        <w:tabs>
          <w:tab w:val="left" w:pos="567"/>
          <w:tab w:val="left" w:pos="1134"/>
        </w:tabs>
        <w:spacing w:after="0"/>
        <w:rPr>
          <w:rFonts w:cs="Arial"/>
        </w:rPr>
      </w:pPr>
    </w:p>
    <w:p w14:paraId="1FB889F7" w14:textId="3C564C65" w:rsidR="000822AF" w:rsidRPr="00882976" w:rsidRDefault="000822AF" w:rsidP="00B1743E">
      <w:pPr>
        <w:tabs>
          <w:tab w:val="left" w:pos="567"/>
          <w:tab w:val="left" w:pos="1134"/>
        </w:tabs>
        <w:spacing w:after="0"/>
        <w:rPr>
          <w:rFonts w:cs="Arial"/>
          <w:b/>
        </w:rPr>
      </w:pPr>
      <w:r w:rsidRPr="00882976">
        <w:rPr>
          <w:rFonts w:cs="Arial"/>
          <w:b/>
        </w:rPr>
        <w:t xml:space="preserve">4.6 Procurement </w:t>
      </w:r>
    </w:p>
    <w:p w14:paraId="55BDA44B" w14:textId="77777777" w:rsidR="000822AF" w:rsidRPr="00882976" w:rsidRDefault="000822AF" w:rsidP="00B1743E">
      <w:pPr>
        <w:tabs>
          <w:tab w:val="left" w:pos="567"/>
          <w:tab w:val="left" w:pos="1134"/>
        </w:tabs>
        <w:spacing w:after="0"/>
        <w:rPr>
          <w:rFonts w:cs="Arial"/>
        </w:rPr>
      </w:pPr>
    </w:p>
    <w:p w14:paraId="13638DD9" w14:textId="10F396E1" w:rsidR="00B1743E" w:rsidRPr="00882976" w:rsidRDefault="000822AF" w:rsidP="00194D1E">
      <w:pPr>
        <w:tabs>
          <w:tab w:val="left" w:pos="567"/>
          <w:tab w:val="left" w:pos="1134"/>
        </w:tabs>
        <w:spacing w:after="0"/>
        <w:rPr>
          <w:rFonts w:cs="Arial"/>
        </w:rPr>
      </w:pPr>
      <w:r w:rsidRPr="00882976">
        <w:rPr>
          <w:rFonts w:cs="Arial"/>
        </w:rPr>
        <w:t xml:space="preserve">The MTFS includes general inflationary price increases across impacted areas which are generally based around national statistics such as RPI. It also includes any contractual or other price pressures that are known about. However, there are a number of </w:t>
      </w:r>
      <w:r w:rsidR="004B17DC">
        <w:rPr>
          <w:rFonts w:cs="Arial"/>
        </w:rPr>
        <w:t>significant procurement</w:t>
      </w:r>
      <w:r w:rsidRPr="00882976">
        <w:rPr>
          <w:rFonts w:cs="Arial"/>
        </w:rPr>
        <w:t xml:space="preserve"> exercises that the County Council </w:t>
      </w:r>
      <w:r w:rsidR="004B17DC">
        <w:rPr>
          <w:rFonts w:cs="Arial"/>
        </w:rPr>
        <w:t xml:space="preserve">(e.g. homecare) </w:t>
      </w:r>
      <w:r w:rsidRPr="00882976">
        <w:rPr>
          <w:rFonts w:cs="Arial"/>
        </w:rPr>
        <w:t>wi</w:t>
      </w:r>
      <w:r w:rsidR="004B17DC">
        <w:rPr>
          <w:rFonts w:cs="Arial"/>
        </w:rPr>
        <w:t>ll be undertaking over the time</w:t>
      </w:r>
      <w:r w:rsidRPr="00882976">
        <w:rPr>
          <w:rFonts w:cs="Arial"/>
        </w:rPr>
        <w:t>frame of the MTFS (with some over the next 12 months)</w:t>
      </w:r>
      <w:r w:rsidR="004B17DC">
        <w:rPr>
          <w:rFonts w:cs="Arial"/>
        </w:rPr>
        <w:t xml:space="preserve"> </w:t>
      </w:r>
      <w:r w:rsidRPr="00882976">
        <w:rPr>
          <w:rFonts w:cs="Arial"/>
        </w:rPr>
        <w:t xml:space="preserve">and any </w:t>
      </w:r>
      <w:r w:rsidR="004B17DC">
        <w:rPr>
          <w:rFonts w:cs="Arial"/>
        </w:rPr>
        <w:t xml:space="preserve">additional </w:t>
      </w:r>
      <w:r w:rsidRPr="00882976">
        <w:rPr>
          <w:rFonts w:cs="Arial"/>
        </w:rPr>
        <w:t xml:space="preserve">price increases </w:t>
      </w:r>
      <w:r w:rsidR="004B17DC">
        <w:rPr>
          <w:rFonts w:cs="Arial"/>
        </w:rPr>
        <w:t>will be built into future</w:t>
      </w:r>
      <w:r w:rsidRPr="00882976">
        <w:rPr>
          <w:rFonts w:cs="Arial"/>
        </w:rPr>
        <w:t xml:space="preserve"> MTFS</w:t>
      </w:r>
      <w:r w:rsidR="004B17DC">
        <w:rPr>
          <w:rFonts w:cs="Arial"/>
        </w:rPr>
        <w:t xml:space="preserve"> revisions. </w:t>
      </w:r>
    </w:p>
    <w:p w14:paraId="5C4808D0" w14:textId="77777777" w:rsidR="00506C3A" w:rsidRPr="00882976" w:rsidRDefault="00506C3A" w:rsidP="00194D1E">
      <w:pPr>
        <w:tabs>
          <w:tab w:val="left" w:pos="567"/>
          <w:tab w:val="left" w:pos="1134"/>
        </w:tabs>
        <w:spacing w:after="0"/>
        <w:rPr>
          <w:rFonts w:cs="Arial"/>
        </w:rPr>
      </w:pPr>
    </w:p>
    <w:p w14:paraId="5286E921" w14:textId="77777777" w:rsidR="00506C3A" w:rsidRPr="00882976" w:rsidRDefault="00506C3A" w:rsidP="00194D1E">
      <w:pPr>
        <w:tabs>
          <w:tab w:val="left" w:pos="567"/>
          <w:tab w:val="left" w:pos="1134"/>
        </w:tabs>
        <w:spacing w:after="0"/>
        <w:rPr>
          <w:rFonts w:cs="Arial"/>
        </w:rPr>
      </w:pPr>
    </w:p>
    <w:p w14:paraId="5EC81E80" w14:textId="77777777" w:rsidR="00506C3A" w:rsidRPr="00882976" w:rsidRDefault="00506C3A" w:rsidP="00194D1E">
      <w:pPr>
        <w:tabs>
          <w:tab w:val="left" w:pos="567"/>
          <w:tab w:val="left" w:pos="1134"/>
        </w:tabs>
        <w:spacing w:after="0"/>
        <w:rPr>
          <w:rFonts w:cs="Arial"/>
        </w:rPr>
      </w:pPr>
    </w:p>
    <w:p w14:paraId="3E46EF3D" w14:textId="77777777" w:rsidR="00506C3A" w:rsidRPr="00882976" w:rsidRDefault="00506C3A" w:rsidP="00194D1E">
      <w:pPr>
        <w:tabs>
          <w:tab w:val="left" w:pos="567"/>
          <w:tab w:val="left" w:pos="1134"/>
        </w:tabs>
        <w:spacing w:after="0"/>
        <w:rPr>
          <w:rFonts w:cs="Arial"/>
        </w:rPr>
      </w:pPr>
    </w:p>
    <w:p w14:paraId="4254CFBA" w14:textId="77777777" w:rsidR="00506C3A" w:rsidRPr="00882976" w:rsidRDefault="00506C3A" w:rsidP="00194D1E">
      <w:pPr>
        <w:tabs>
          <w:tab w:val="left" w:pos="567"/>
          <w:tab w:val="left" w:pos="1134"/>
        </w:tabs>
        <w:spacing w:after="0"/>
        <w:rPr>
          <w:rFonts w:cs="Arial"/>
        </w:rPr>
      </w:pPr>
    </w:p>
    <w:p w14:paraId="700BFD27" w14:textId="77777777" w:rsidR="00506C3A" w:rsidRPr="00882976" w:rsidRDefault="00506C3A" w:rsidP="00194D1E">
      <w:pPr>
        <w:tabs>
          <w:tab w:val="left" w:pos="567"/>
          <w:tab w:val="left" w:pos="1134"/>
        </w:tabs>
        <w:spacing w:after="0"/>
        <w:rPr>
          <w:rFonts w:cs="Arial"/>
        </w:rPr>
      </w:pPr>
    </w:p>
    <w:sectPr w:rsidR="00506C3A" w:rsidRPr="00882976" w:rsidSect="00AE2123">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0633A" w14:textId="77777777" w:rsidR="00CE7EE3" w:rsidRDefault="00CE7EE3" w:rsidP="00124FDC">
      <w:pPr>
        <w:spacing w:after="0"/>
      </w:pPr>
      <w:r>
        <w:separator/>
      </w:r>
    </w:p>
  </w:endnote>
  <w:endnote w:type="continuationSeparator" w:id="0">
    <w:p w14:paraId="1AD29C4F" w14:textId="77777777" w:rsidR="00CE7EE3" w:rsidRDefault="00CE7EE3"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29511"/>
      <w:docPartObj>
        <w:docPartGallery w:val="Page Numbers (Bottom of Page)"/>
        <w:docPartUnique/>
      </w:docPartObj>
    </w:sdtPr>
    <w:sdtEndPr>
      <w:rPr>
        <w:noProof/>
      </w:rPr>
    </w:sdtEndPr>
    <w:sdtContent>
      <w:p w14:paraId="1E3037FE" w14:textId="77777777" w:rsidR="00CE7EE3" w:rsidRDefault="00CE7EE3">
        <w:pPr>
          <w:pStyle w:val="Footer"/>
        </w:pPr>
        <w:r>
          <w:fldChar w:fldCharType="begin"/>
        </w:r>
        <w:r>
          <w:instrText xml:space="preserve"> PAGE   \* MERGEFORMAT </w:instrText>
        </w:r>
        <w:r>
          <w:fldChar w:fldCharType="separate"/>
        </w:r>
        <w:r w:rsidR="00811EA0">
          <w:rPr>
            <w:noProof/>
          </w:rPr>
          <w:t>19</w:t>
        </w:r>
        <w:r>
          <w:rPr>
            <w:noProof/>
          </w:rPr>
          <w:fldChar w:fldCharType="end"/>
        </w:r>
      </w:p>
    </w:sdtContent>
  </w:sdt>
  <w:p w14:paraId="3AE0D65A" w14:textId="77777777" w:rsidR="00CE7EE3" w:rsidRDefault="00CE7E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AFC89" w14:textId="77777777" w:rsidR="00CE7EE3" w:rsidRDefault="00CE7EE3" w:rsidP="00124FDC">
      <w:pPr>
        <w:spacing w:after="0"/>
      </w:pPr>
      <w:r>
        <w:separator/>
      </w:r>
    </w:p>
  </w:footnote>
  <w:footnote w:type="continuationSeparator" w:id="0">
    <w:p w14:paraId="280DB1E2" w14:textId="77777777" w:rsidR="00CE7EE3" w:rsidRDefault="00CE7EE3"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5841F" w14:textId="6F702B04" w:rsidR="00CE7EE3" w:rsidRDefault="00811EA0">
    <w:pPr>
      <w:pStyle w:val="Header"/>
    </w:pPr>
    <w:sdt>
      <w:sdtPr>
        <w:id w:val="-2063089987"/>
        <w:docPartObj>
          <w:docPartGallery w:val="Page Numbers (Top of Page)"/>
          <w:docPartUnique/>
        </w:docPartObj>
      </w:sdtPr>
      <w:sdtEndPr>
        <w:rPr>
          <w:noProof/>
        </w:rPr>
      </w:sdtEndPr>
      <w:sdtContent>
        <w:r w:rsidR="00CE7EE3">
          <w:fldChar w:fldCharType="begin"/>
        </w:r>
        <w:r w:rsidR="00CE7EE3">
          <w:instrText xml:space="preserve"> PAGE   \* MERGEFORMAT </w:instrText>
        </w:r>
        <w:r w:rsidR="00CE7EE3">
          <w:fldChar w:fldCharType="separate"/>
        </w:r>
        <w:r>
          <w:rPr>
            <w:noProof/>
          </w:rPr>
          <w:t>19</w:t>
        </w:r>
        <w:r w:rsidR="00CE7EE3">
          <w:rPr>
            <w:noProof/>
          </w:rPr>
          <w:fldChar w:fldCharType="end"/>
        </w:r>
      </w:sdtContent>
    </w:sdt>
  </w:p>
  <w:p w14:paraId="67CA53C7" w14:textId="77777777" w:rsidR="00CE7EE3" w:rsidRDefault="00CE7E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5D2F" w14:textId="77777777" w:rsidR="00CE7EE3" w:rsidRDefault="00CE7EE3" w:rsidP="00846AEA">
    <w:pPr>
      <w:pStyle w:val="Header"/>
    </w:pPr>
    <w:r>
      <w:rPr>
        <w:noProof/>
        <w:lang w:eastAsia="en-GB"/>
      </w:rPr>
      <w:drawing>
        <wp:anchor distT="0" distB="0" distL="114300" distR="114300" simplePos="0" relativeHeight="251656704" behindDoc="1" locked="0" layoutInCell="1" allowOverlap="1" wp14:anchorId="67D5E048" wp14:editId="130A19BA">
          <wp:simplePos x="0" y="0"/>
          <wp:positionH relativeFrom="column">
            <wp:posOffset>-895985</wp:posOffset>
          </wp:positionH>
          <wp:positionV relativeFrom="paragraph">
            <wp:posOffset>-479425</wp:posOffset>
          </wp:positionV>
          <wp:extent cx="7568565" cy="10720070"/>
          <wp:effectExtent l="0" t="0" r="0" b="5080"/>
          <wp:wrapNone/>
          <wp:docPr id="4"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
                  <a:srcRect/>
                  <a:stretch>
                    <a:fillRect/>
                  </a:stretch>
                </pic:blipFill>
                <pic:spPr bwMode="auto">
                  <a:xfrm>
                    <a:off x="0" y="0"/>
                    <a:ext cx="7568565" cy="10720070"/>
                  </a:xfrm>
                  <a:prstGeom prst="rect">
                    <a:avLst/>
                  </a:prstGeom>
                  <a:noFill/>
                  <a:ln w="9525">
                    <a:noFill/>
                    <a:miter lim="800000"/>
                    <a:headEnd/>
                    <a:tailEnd/>
                  </a:ln>
                </pic:spPr>
              </pic:pic>
            </a:graphicData>
          </a:graphic>
        </wp:anchor>
      </w:drawing>
    </w:r>
    <w:r>
      <w:rPr>
        <w:noProof/>
        <w:lang w:eastAsia="en-GB"/>
      </w:rPr>
      <mc:AlternateContent>
        <mc:Choice Requires="wps">
          <w:drawing>
            <wp:anchor distT="45720" distB="45720" distL="114300" distR="114300" simplePos="0" relativeHeight="251657728" behindDoc="0" locked="0" layoutInCell="1" allowOverlap="1" wp14:anchorId="0589B9CF" wp14:editId="0FA9E762">
              <wp:simplePos x="0" y="0"/>
              <wp:positionH relativeFrom="column">
                <wp:posOffset>5445125</wp:posOffset>
              </wp:positionH>
              <wp:positionV relativeFrom="paragraph">
                <wp:posOffset>-267335</wp:posOffset>
              </wp:positionV>
              <wp:extent cx="1092835" cy="1404620"/>
              <wp:effectExtent l="0" t="0" r="1206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1404620"/>
                      </a:xfrm>
                      <a:prstGeom prst="rect">
                        <a:avLst/>
                      </a:prstGeom>
                      <a:solidFill>
                        <a:srgbClr val="FFFFFF"/>
                      </a:solidFill>
                      <a:ln w="9525">
                        <a:solidFill>
                          <a:srgbClr val="000000"/>
                        </a:solidFill>
                        <a:miter lim="800000"/>
                        <a:headEnd/>
                        <a:tailEnd/>
                      </a:ln>
                    </wps:spPr>
                    <wps:txbx>
                      <w:txbxContent>
                        <w:p w14:paraId="7D94520E" w14:textId="7441C879" w:rsidR="00CE7EE3" w:rsidRPr="000C5639" w:rsidRDefault="00CE7EE3">
                          <w:pPr>
                            <w:rPr>
                              <w:b/>
                            </w:rPr>
                          </w:pPr>
                          <w:r w:rsidRPr="000C5639">
                            <w:rPr>
                              <w:b/>
                            </w:rPr>
                            <w:t xml:space="preserve">Appendix </w:t>
                          </w:r>
                          <w:r>
                            <w:rPr>
                              <w:b/>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89B9CF" id="_x0000_t202" coordsize="21600,21600" o:spt="202" path="m,l,21600r21600,l21600,xe">
              <v:stroke joinstyle="miter"/>
              <v:path gradientshapeok="t" o:connecttype="rect"/>
            </v:shapetype>
            <v:shape id="Text Box 2" o:spid="_x0000_s1027" type="#_x0000_t202" style="position:absolute;left:0;text-align:left;margin-left:428.75pt;margin-top:-21.05pt;width:86.0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">
              <v:textbox style="mso-fit-shape-to-text:t">
                <w:txbxContent>
                  <w:p w14:paraId="7D94520E" w14:textId="7441C879" w:rsidR="00CE7EE3" w:rsidRPr="000C5639" w:rsidRDefault="00CE7EE3">
                    <w:pPr>
                      <w:rPr>
                        <w:b/>
                      </w:rPr>
                    </w:pPr>
                    <w:r w:rsidRPr="000C5639">
                      <w:rPr>
                        <w:b/>
                      </w:rPr>
                      <w:t xml:space="preserve">Appendix </w:t>
                    </w:r>
                    <w:r>
                      <w:rPr>
                        <w:b/>
                      </w:rPr>
                      <w:t>B</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06E1DF6"/>
    <w:multiLevelType w:val="hybridMultilevel"/>
    <w:tmpl w:val="187E0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10F562A"/>
    <w:multiLevelType w:val="hybridMultilevel"/>
    <w:tmpl w:val="09C40C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021D3D7F"/>
    <w:multiLevelType w:val="hybridMultilevel"/>
    <w:tmpl w:val="E5A6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53B4F3A"/>
    <w:multiLevelType w:val="hybridMultilevel"/>
    <w:tmpl w:val="34BC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94F56C6"/>
    <w:multiLevelType w:val="hybridMultilevel"/>
    <w:tmpl w:val="7A324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9801BCE"/>
    <w:multiLevelType w:val="hybridMultilevel"/>
    <w:tmpl w:val="B988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9AF2523"/>
    <w:multiLevelType w:val="hybridMultilevel"/>
    <w:tmpl w:val="BB204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A5C231F"/>
    <w:multiLevelType w:val="hybridMultilevel"/>
    <w:tmpl w:val="0E30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0C0F5ABD"/>
    <w:multiLevelType w:val="hybridMultilevel"/>
    <w:tmpl w:val="A6E66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0E841A96"/>
    <w:multiLevelType w:val="hybridMultilevel"/>
    <w:tmpl w:val="3DA41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0F9B604E"/>
    <w:multiLevelType w:val="hybridMultilevel"/>
    <w:tmpl w:val="CAFEF6C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12AF7E47"/>
    <w:multiLevelType w:val="hybridMultilevel"/>
    <w:tmpl w:val="71F8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3375114"/>
    <w:multiLevelType w:val="hybridMultilevel"/>
    <w:tmpl w:val="73F86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7733BFC"/>
    <w:multiLevelType w:val="hybridMultilevel"/>
    <w:tmpl w:val="C74A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9895967"/>
    <w:multiLevelType w:val="hybridMultilevel"/>
    <w:tmpl w:val="B84A7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C634B33"/>
    <w:multiLevelType w:val="hybridMultilevel"/>
    <w:tmpl w:val="572CC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825250"/>
    <w:multiLevelType w:val="hybridMultilevel"/>
    <w:tmpl w:val="F87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CD973FF"/>
    <w:multiLevelType w:val="hybridMultilevel"/>
    <w:tmpl w:val="C0CAAF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E21129C"/>
    <w:multiLevelType w:val="hybridMultilevel"/>
    <w:tmpl w:val="5190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EF25E8D"/>
    <w:multiLevelType w:val="hybridMultilevel"/>
    <w:tmpl w:val="30467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02A2F4F"/>
    <w:multiLevelType w:val="hybridMultilevel"/>
    <w:tmpl w:val="51BAAE1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1" w15:restartNumberingAfterBreak="0">
    <w:nsid w:val="20534CCC"/>
    <w:multiLevelType w:val="hybridMultilevel"/>
    <w:tmpl w:val="DD7CA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08E1C80"/>
    <w:multiLevelType w:val="hybridMultilevel"/>
    <w:tmpl w:val="F5EE3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26B14A6"/>
    <w:multiLevelType w:val="hybridMultilevel"/>
    <w:tmpl w:val="C786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807468E"/>
    <w:multiLevelType w:val="hybridMultilevel"/>
    <w:tmpl w:val="27B4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DA71229"/>
    <w:multiLevelType w:val="hybridMultilevel"/>
    <w:tmpl w:val="D15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2DC46797"/>
    <w:multiLevelType w:val="hybridMultilevel"/>
    <w:tmpl w:val="F6B8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DF00F05"/>
    <w:multiLevelType w:val="hybridMultilevel"/>
    <w:tmpl w:val="EDAE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E6F1334"/>
    <w:multiLevelType w:val="hybridMultilevel"/>
    <w:tmpl w:val="C0680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2FB74830"/>
    <w:multiLevelType w:val="hybridMultilevel"/>
    <w:tmpl w:val="37B4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0380328"/>
    <w:multiLevelType w:val="hybridMultilevel"/>
    <w:tmpl w:val="B9CC41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30FB387C"/>
    <w:multiLevelType w:val="hybridMultilevel"/>
    <w:tmpl w:val="56265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32610250"/>
    <w:multiLevelType w:val="hybridMultilevel"/>
    <w:tmpl w:val="7988B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4" w15:restartNumberingAfterBreak="0">
    <w:nsid w:val="338E1B06"/>
    <w:multiLevelType w:val="hybridMultilevel"/>
    <w:tmpl w:val="C8C6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8541BCC"/>
    <w:multiLevelType w:val="hybridMultilevel"/>
    <w:tmpl w:val="44829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91C2DA1"/>
    <w:multiLevelType w:val="hybridMultilevel"/>
    <w:tmpl w:val="67906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9EF51F6"/>
    <w:multiLevelType w:val="hybridMultilevel"/>
    <w:tmpl w:val="7472B19C"/>
    <w:lvl w:ilvl="0" w:tplc="1E3C5676">
      <w:start w:val="1"/>
      <w:numFmt w:val="decimal"/>
      <w:lvlText w:val="%1."/>
      <w:lvlJc w:val="left"/>
      <w:pPr>
        <w:ind w:left="720" w:hanging="360"/>
      </w:pPr>
      <w:rPr>
        <w:rFonts w:asciiTheme="minorHAnsi" w:eastAsiaTheme="minorHAnsi" w:hAnsiTheme="minorHAnsi" w:cstheme="minorBidi"/>
      </w:rPr>
    </w:lvl>
    <w:lvl w:ilvl="1" w:tplc="D5EEB32C">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B310F7F"/>
    <w:multiLevelType w:val="hybridMultilevel"/>
    <w:tmpl w:val="467A3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BC42085"/>
    <w:multiLevelType w:val="hybridMultilevel"/>
    <w:tmpl w:val="999A197E"/>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CD21179"/>
    <w:multiLevelType w:val="hybridMultilevel"/>
    <w:tmpl w:val="FC2CE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CF6736E"/>
    <w:multiLevelType w:val="hybridMultilevel"/>
    <w:tmpl w:val="1C9E3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D33114F"/>
    <w:multiLevelType w:val="hybridMultilevel"/>
    <w:tmpl w:val="783C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F304FFE"/>
    <w:multiLevelType w:val="hybridMultilevel"/>
    <w:tmpl w:val="39EA3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40780881"/>
    <w:multiLevelType w:val="hybridMultilevel"/>
    <w:tmpl w:val="BCA456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42707BBF"/>
    <w:multiLevelType w:val="hybridMultilevel"/>
    <w:tmpl w:val="686ED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42DE7426"/>
    <w:multiLevelType w:val="hybridMultilevel"/>
    <w:tmpl w:val="69D486A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8" w15:restartNumberingAfterBreak="0">
    <w:nsid w:val="438D2F0B"/>
    <w:multiLevelType w:val="hybridMultilevel"/>
    <w:tmpl w:val="F4528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D7E2E0F"/>
    <w:multiLevelType w:val="hybridMultilevel"/>
    <w:tmpl w:val="5B6EF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E097B18"/>
    <w:multiLevelType w:val="hybridMultilevel"/>
    <w:tmpl w:val="4A8A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F5365B6"/>
    <w:multiLevelType w:val="hybridMultilevel"/>
    <w:tmpl w:val="F6629F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51555F4B"/>
    <w:multiLevelType w:val="hybridMultilevel"/>
    <w:tmpl w:val="391C3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52066C33"/>
    <w:multiLevelType w:val="hybridMultilevel"/>
    <w:tmpl w:val="56B27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20C6D8F"/>
    <w:multiLevelType w:val="hybridMultilevel"/>
    <w:tmpl w:val="3BD86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6E84C00"/>
    <w:multiLevelType w:val="hybridMultilevel"/>
    <w:tmpl w:val="A2ECA430"/>
    <w:lvl w:ilvl="0" w:tplc="49B0358E">
      <w:numFmt w:val="bullet"/>
      <w:lvlText w:val="·"/>
      <w:lvlJc w:val="left"/>
      <w:pPr>
        <w:ind w:left="720" w:hanging="360"/>
      </w:pPr>
      <w:rPr>
        <w:rFonts w:ascii="Symbol" w:eastAsia="Arial" w:hAnsi="Symbol" w:hint="default"/>
        <w:b w:val="0"/>
        <w:color w:val="0000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70E0F32"/>
    <w:multiLevelType w:val="hybridMultilevel"/>
    <w:tmpl w:val="55E00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8EF1616"/>
    <w:multiLevelType w:val="hybridMultilevel"/>
    <w:tmpl w:val="EB9E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C433B3D"/>
    <w:multiLevelType w:val="hybridMultilevel"/>
    <w:tmpl w:val="C8A87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CD359A3"/>
    <w:multiLevelType w:val="hybridMultilevel"/>
    <w:tmpl w:val="FD1E25FA"/>
    <w:lvl w:ilvl="0" w:tplc="08090001">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FF76095"/>
    <w:multiLevelType w:val="hybridMultilevel"/>
    <w:tmpl w:val="E16CA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0630F5D"/>
    <w:multiLevelType w:val="hybridMultilevel"/>
    <w:tmpl w:val="52003D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2" w15:restartNumberingAfterBreak="0">
    <w:nsid w:val="619E3770"/>
    <w:multiLevelType w:val="hybridMultilevel"/>
    <w:tmpl w:val="0608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2047EF2"/>
    <w:multiLevelType w:val="hybridMultilevel"/>
    <w:tmpl w:val="96CE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3272344"/>
    <w:multiLevelType w:val="hybridMultilevel"/>
    <w:tmpl w:val="60D6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3C374F1"/>
    <w:multiLevelType w:val="hybridMultilevel"/>
    <w:tmpl w:val="17B6DF48"/>
    <w:lvl w:ilvl="0" w:tplc="08090001">
      <w:start w:val="1"/>
      <w:numFmt w:val="bullet"/>
      <w:lvlText w:val=""/>
      <w:lvlJc w:val="left"/>
      <w:pPr>
        <w:ind w:left="502" w:hanging="360"/>
      </w:pPr>
      <w:rPr>
        <w:rFonts w:ascii="Symbol" w:hAnsi="Symbol" w:hint="default"/>
      </w:rPr>
    </w:lvl>
    <w:lvl w:ilvl="1" w:tplc="256C178A">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65CA5083"/>
    <w:multiLevelType w:val="hybridMultilevel"/>
    <w:tmpl w:val="D3EA3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78B0D84"/>
    <w:multiLevelType w:val="hybridMultilevel"/>
    <w:tmpl w:val="4C50F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6AB32FCF"/>
    <w:multiLevelType w:val="hybridMultilevel"/>
    <w:tmpl w:val="B636D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6B4C1C94"/>
    <w:multiLevelType w:val="hybridMultilevel"/>
    <w:tmpl w:val="30B4B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6B707707"/>
    <w:multiLevelType w:val="hybridMultilevel"/>
    <w:tmpl w:val="A858E696"/>
    <w:lvl w:ilvl="0" w:tplc="49B0358E">
      <w:numFmt w:val="bullet"/>
      <w:lvlText w:val="·"/>
      <w:lvlJc w:val="left"/>
      <w:pPr>
        <w:ind w:left="360" w:hanging="360"/>
      </w:pPr>
      <w:rPr>
        <w:rFonts w:ascii="Symbol" w:eastAsia="Arial" w:hAnsi="Symbol" w:hint="default"/>
        <w:b w:val="0"/>
        <w:color w:val="000000"/>
        <w:sz w:val="24"/>
        <w:szCs w:val="24"/>
      </w:rPr>
    </w:lvl>
    <w:lvl w:ilvl="1" w:tplc="F9EC5F4E">
      <w:start w:val="1"/>
      <w:numFmt w:val="bullet"/>
      <w:lvlText w:val="o"/>
      <w:lvlJc w:val="left"/>
      <w:pPr>
        <w:ind w:left="1080" w:hanging="360"/>
      </w:pPr>
      <w:rPr>
        <w:rFonts w:ascii="Calibri" w:eastAsia="Calibri" w:hAnsi="Calibri" w:hint="default"/>
        <w:b/>
        <w:color w:val="000000"/>
        <w:sz w:val="24"/>
        <w:szCs w:val="24"/>
      </w:rPr>
    </w:lvl>
    <w:lvl w:ilvl="2" w:tplc="C3481C64">
      <w:start w:val="1"/>
      <w:numFmt w:val="bullet"/>
      <w:lvlText w:val="§"/>
      <w:lvlJc w:val="left"/>
      <w:pPr>
        <w:ind w:left="1800" w:hanging="360"/>
      </w:pPr>
      <w:rPr>
        <w:rFonts w:ascii="Calibri" w:eastAsia="Calibri" w:hAnsi="Calibri" w:hint="default"/>
        <w:b/>
        <w:color w:val="000000"/>
        <w:sz w:val="24"/>
        <w:szCs w:val="24"/>
      </w:rPr>
    </w:lvl>
    <w:lvl w:ilvl="3" w:tplc="8D56B9E8">
      <w:start w:val="1"/>
      <w:numFmt w:val="bullet"/>
      <w:lvlText w:val="·"/>
      <w:lvlJc w:val="left"/>
      <w:pPr>
        <w:ind w:left="2520" w:hanging="360"/>
      </w:pPr>
      <w:rPr>
        <w:rFonts w:ascii="Calibri" w:eastAsia="Calibri" w:hAnsi="Calibri" w:hint="default"/>
        <w:b/>
        <w:color w:val="000000"/>
        <w:sz w:val="24"/>
        <w:szCs w:val="24"/>
      </w:rPr>
    </w:lvl>
    <w:lvl w:ilvl="4" w:tplc="AE847408">
      <w:start w:val="1"/>
      <w:numFmt w:val="bullet"/>
      <w:lvlText w:val="o"/>
      <w:lvlJc w:val="left"/>
      <w:pPr>
        <w:ind w:left="3240" w:hanging="360"/>
      </w:pPr>
      <w:rPr>
        <w:rFonts w:ascii="Calibri" w:eastAsia="Calibri" w:hAnsi="Calibri" w:hint="default"/>
        <w:b/>
        <w:color w:val="000000"/>
        <w:sz w:val="24"/>
        <w:szCs w:val="24"/>
      </w:rPr>
    </w:lvl>
    <w:lvl w:ilvl="5" w:tplc="DDB28B6E">
      <w:start w:val="1"/>
      <w:numFmt w:val="bullet"/>
      <w:lvlText w:val="§"/>
      <w:lvlJc w:val="left"/>
      <w:pPr>
        <w:ind w:left="3960" w:hanging="360"/>
      </w:pPr>
      <w:rPr>
        <w:rFonts w:ascii="Calibri" w:eastAsia="Calibri" w:hAnsi="Calibri" w:hint="default"/>
        <w:b/>
        <w:color w:val="000000"/>
        <w:sz w:val="24"/>
        <w:szCs w:val="24"/>
      </w:rPr>
    </w:lvl>
    <w:lvl w:ilvl="6" w:tplc="87D6B0AC">
      <w:start w:val="1"/>
      <w:numFmt w:val="bullet"/>
      <w:lvlText w:val="·"/>
      <w:lvlJc w:val="left"/>
      <w:pPr>
        <w:ind w:left="4680" w:hanging="360"/>
      </w:pPr>
      <w:rPr>
        <w:rFonts w:ascii="Calibri" w:eastAsia="Calibri" w:hAnsi="Calibri" w:hint="default"/>
        <w:b/>
        <w:color w:val="000000"/>
        <w:sz w:val="24"/>
        <w:szCs w:val="24"/>
      </w:rPr>
    </w:lvl>
    <w:lvl w:ilvl="7" w:tplc="55D8CF08">
      <w:start w:val="1"/>
      <w:numFmt w:val="bullet"/>
      <w:lvlText w:val="o"/>
      <w:lvlJc w:val="left"/>
      <w:pPr>
        <w:ind w:left="5400" w:hanging="360"/>
      </w:pPr>
      <w:rPr>
        <w:rFonts w:ascii="Calibri" w:eastAsia="Calibri" w:hAnsi="Calibri" w:hint="default"/>
        <w:b/>
        <w:color w:val="000000"/>
        <w:sz w:val="24"/>
        <w:szCs w:val="24"/>
      </w:rPr>
    </w:lvl>
    <w:lvl w:ilvl="8" w:tplc="10445D2C">
      <w:start w:val="1"/>
      <w:numFmt w:val="bullet"/>
      <w:lvlText w:val="§"/>
      <w:lvlJc w:val="left"/>
      <w:pPr>
        <w:ind w:left="6120" w:hanging="360"/>
      </w:pPr>
      <w:rPr>
        <w:rFonts w:ascii="Calibri" w:eastAsia="Calibri" w:hAnsi="Calibri" w:hint="default"/>
        <w:b/>
        <w:color w:val="000000"/>
        <w:sz w:val="24"/>
        <w:szCs w:val="24"/>
      </w:rPr>
    </w:lvl>
  </w:abstractNum>
  <w:abstractNum w:abstractNumId="92" w15:restartNumberingAfterBreak="0">
    <w:nsid w:val="6BFC7B04"/>
    <w:multiLevelType w:val="hybridMultilevel"/>
    <w:tmpl w:val="C9F452C8"/>
    <w:lvl w:ilvl="0" w:tplc="3B2C852E">
      <w:start w:val="1"/>
      <w:numFmt w:val="decimal"/>
      <w:lvlText w:val="%1."/>
      <w:lvlJc w:val="left"/>
      <w:pPr>
        <w:ind w:left="930" w:hanging="57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6CEB345A"/>
    <w:multiLevelType w:val="hybridMultilevel"/>
    <w:tmpl w:val="840C2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DC90564"/>
    <w:multiLevelType w:val="hybridMultilevel"/>
    <w:tmpl w:val="BE6E08B4"/>
    <w:lvl w:ilvl="0" w:tplc="9DAA13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E143376"/>
    <w:multiLevelType w:val="hybridMultilevel"/>
    <w:tmpl w:val="C6EE4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F75262C"/>
    <w:multiLevelType w:val="hybridMultilevel"/>
    <w:tmpl w:val="3028D9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7" w15:restartNumberingAfterBreak="0">
    <w:nsid w:val="70BF22D1"/>
    <w:multiLevelType w:val="hybridMultilevel"/>
    <w:tmpl w:val="5F281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0FD5CD8"/>
    <w:multiLevelType w:val="hybridMultilevel"/>
    <w:tmpl w:val="36F2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0" w15:restartNumberingAfterBreak="0">
    <w:nsid w:val="78F64130"/>
    <w:multiLevelType w:val="hybridMultilevel"/>
    <w:tmpl w:val="1226B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B3034AB"/>
    <w:multiLevelType w:val="hybridMultilevel"/>
    <w:tmpl w:val="5DEE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3"/>
  </w:num>
  <w:num w:numId="2">
    <w:abstractNumId w:val="65"/>
  </w:num>
  <w:num w:numId="3">
    <w:abstractNumId w:val="99"/>
  </w:num>
  <w:num w:numId="4">
    <w:abstractNumId w:val="86"/>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92"/>
  </w:num>
  <w:num w:numId="26">
    <w:abstractNumId w:val="85"/>
  </w:num>
  <w:num w:numId="27">
    <w:abstractNumId w:val="54"/>
  </w:num>
  <w:num w:numId="28">
    <w:abstractNumId w:val="70"/>
  </w:num>
  <w:num w:numId="29">
    <w:abstractNumId w:val="60"/>
  </w:num>
  <w:num w:numId="30">
    <w:abstractNumId w:val="35"/>
  </w:num>
  <w:num w:numId="31">
    <w:abstractNumId w:val="96"/>
  </w:num>
  <w:num w:numId="32">
    <w:abstractNumId w:val="98"/>
  </w:num>
  <w:num w:numId="33">
    <w:abstractNumId w:val="21"/>
  </w:num>
  <w:num w:numId="34">
    <w:abstractNumId w:val="81"/>
  </w:num>
  <w:num w:numId="35">
    <w:abstractNumId w:val="30"/>
  </w:num>
  <w:num w:numId="36">
    <w:abstractNumId w:val="59"/>
  </w:num>
  <w:num w:numId="37">
    <w:abstractNumId w:val="64"/>
  </w:num>
  <w:num w:numId="38">
    <w:abstractNumId w:val="76"/>
  </w:num>
  <w:num w:numId="39">
    <w:abstractNumId w:val="94"/>
  </w:num>
  <w:num w:numId="40">
    <w:abstractNumId w:val="24"/>
  </w:num>
  <w:num w:numId="41">
    <w:abstractNumId w:val="71"/>
  </w:num>
  <w:num w:numId="42">
    <w:abstractNumId w:val="87"/>
  </w:num>
  <w:num w:numId="43">
    <w:abstractNumId w:val="58"/>
  </w:num>
  <w:num w:numId="44">
    <w:abstractNumId w:val="20"/>
  </w:num>
  <w:num w:numId="45">
    <w:abstractNumId w:val="95"/>
  </w:num>
  <w:num w:numId="46">
    <w:abstractNumId w:val="43"/>
  </w:num>
  <w:num w:numId="47">
    <w:abstractNumId w:val="44"/>
  </w:num>
  <w:num w:numId="48">
    <w:abstractNumId w:val="36"/>
  </w:num>
  <w:num w:numId="49">
    <w:abstractNumId w:val="38"/>
  </w:num>
  <w:num w:numId="50">
    <w:abstractNumId w:val="61"/>
  </w:num>
  <w:num w:numId="51">
    <w:abstractNumId w:val="93"/>
  </w:num>
  <w:num w:numId="52">
    <w:abstractNumId w:val="28"/>
  </w:num>
  <w:num w:numId="53">
    <w:abstractNumId w:val="22"/>
  </w:num>
  <w:num w:numId="54">
    <w:abstractNumId w:val="32"/>
  </w:num>
  <w:num w:numId="55">
    <w:abstractNumId w:val="74"/>
  </w:num>
  <w:num w:numId="56">
    <w:abstractNumId w:val="66"/>
  </w:num>
  <w:num w:numId="57">
    <w:abstractNumId w:val="45"/>
  </w:num>
  <w:num w:numId="58">
    <w:abstractNumId w:val="23"/>
  </w:num>
  <w:num w:numId="59">
    <w:abstractNumId w:val="27"/>
  </w:num>
  <w:num w:numId="60">
    <w:abstractNumId w:val="69"/>
  </w:num>
  <w:num w:numId="61">
    <w:abstractNumId w:val="62"/>
  </w:num>
  <w:num w:numId="62">
    <w:abstractNumId w:val="46"/>
  </w:num>
  <w:num w:numId="63">
    <w:abstractNumId w:val="57"/>
  </w:num>
  <w:num w:numId="64">
    <w:abstractNumId w:val="77"/>
  </w:num>
  <w:num w:numId="65">
    <w:abstractNumId w:val="50"/>
  </w:num>
  <w:num w:numId="66">
    <w:abstractNumId w:val="79"/>
  </w:num>
  <w:num w:numId="67">
    <w:abstractNumId w:val="51"/>
  </w:num>
  <w:num w:numId="68">
    <w:abstractNumId w:val="34"/>
  </w:num>
  <w:num w:numId="69">
    <w:abstractNumId w:val="29"/>
  </w:num>
  <w:num w:numId="70">
    <w:abstractNumId w:val="25"/>
  </w:num>
  <w:num w:numId="71">
    <w:abstractNumId w:val="68"/>
  </w:num>
  <w:num w:numId="72">
    <w:abstractNumId w:val="31"/>
  </w:num>
  <w:num w:numId="73">
    <w:abstractNumId w:val="91"/>
  </w:num>
  <w:num w:numId="74">
    <w:abstractNumId w:val="49"/>
  </w:num>
  <w:num w:numId="75">
    <w:abstractNumId w:val="75"/>
  </w:num>
  <w:num w:numId="76">
    <w:abstractNumId w:val="88"/>
  </w:num>
  <w:num w:numId="77">
    <w:abstractNumId w:val="48"/>
  </w:num>
  <w:num w:numId="78">
    <w:abstractNumId w:val="63"/>
  </w:num>
  <w:num w:numId="79">
    <w:abstractNumId w:val="72"/>
  </w:num>
  <w:num w:numId="80">
    <w:abstractNumId w:val="39"/>
  </w:num>
  <w:num w:numId="81">
    <w:abstractNumId w:val="42"/>
  </w:num>
  <w:num w:numId="82">
    <w:abstractNumId w:val="78"/>
  </w:num>
  <w:num w:numId="83">
    <w:abstractNumId w:val="26"/>
  </w:num>
  <w:num w:numId="84">
    <w:abstractNumId w:val="56"/>
  </w:num>
  <w:num w:numId="85">
    <w:abstractNumId w:val="80"/>
  </w:num>
  <w:num w:numId="86">
    <w:abstractNumId w:val="90"/>
  </w:num>
  <w:num w:numId="87">
    <w:abstractNumId w:val="84"/>
  </w:num>
  <w:num w:numId="88">
    <w:abstractNumId w:val="73"/>
  </w:num>
  <w:num w:numId="89">
    <w:abstractNumId w:val="89"/>
  </w:num>
  <w:num w:numId="90">
    <w:abstractNumId w:val="41"/>
  </w:num>
  <w:num w:numId="91">
    <w:abstractNumId w:val="67"/>
  </w:num>
  <w:num w:numId="92">
    <w:abstractNumId w:val="100"/>
  </w:num>
  <w:num w:numId="93">
    <w:abstractNumId w:val="47"/>
  </w:num>
  <w:num w:numId="94">
    <w:abstractNumId w:val="101"/>
  </w:num>
  <w:num w:numId="95">
    <w:abstractNumId w:val="83"/>
  </w:num>
  <w:num w:numId="96">
    <w:abstractNumId w:val="55"/>
  </w:num>
  <w:num w:numId="97">
    <w:abstractNumId w:val="52"/>
  </w:num>
  <w:num w:numId="98">
    <w:abstractNumId w:val="33"/>
  </w:num>
  <w:num w:numId="99">
    <w:abstractNumId w:val="82"/>
  </w:num>
  <w:num w:numId="100">
    <w:abstractNumId w:val="40"/>
  </w:num>
  <w:num w:numId="101">
    <w:abstractNumId w:val="37"/>
  </w:num>
  <w:num w:numId="102">
    <w:abstractNumId w:val="9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47106">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64"/>
    <w:rsid w:val="0000008E"/>
    <w:rsid w:val="00000CB1"/>
    <w:rsid w:val="00001DA0"/>
    <w:rsid w:val="00002B14"/>
    <w:rsid w:val="0000388E"/>
    <w:rsid w:val="00005501"/>
    <w:rsid w:val="000061C5"/>
    <w:rsid w:val="0000699F"/>
    <w:rsid w:val="0001056B"/>
    <w:rsid w:val="000112C8"/>
    <w:rsid w:val="0001341B"/>
    <w:rsid w:val="00016010"/>
    <w:rsid w:val="0002009B"/>
    <w:rsid w:val="000205B8"/>
    <w:rsid w:val="0002209D"/>
    <w:rsid w:val="00025819"/>
    <w:rsid w:val="0002619E"/>
    <w:rsid w:val="00026664"/>
    <w:rsid w:val="00033801"/>
    <w:rsid w:val="00044FF2"/>
    <w:rsid w:val="0004609F"/>
    <w:rsid w:val="00052490"/>
    <w:rsid w:val="00054C03"/>
    <w:rsid w:val="000561EF"/>
    <w:rsid w:val="00057B51"/>
    <w:rsid w:val="00060C9A"/>
    <w:rsid w:val="0006111C"/>
    <w:rsid w:val="00064B2E"/>
    <w:rsid w:val="000663E0"/>
    <w:rsid w:val="000701AB"/>
    <w:rsid w:val="00071F35"/>
    <w:rsid w:val="0007606B"/>
    <w:rsid w:val="0008047C"/>
    <w:rsid w:val="00081179"/>
    <w:rsid w:val="00081E12"/>
    <w:rsid w:val="000822AF"/>
    <w:rsid w:val="00083512"/>
    <w:rsid w:val="0008360D"/>
    <w:rsid w:val="00085091"/>
    <w:rsid w:val="00092756"/>
    <w:rsid w:val="000932E2"/>
    <w:rsid w:val="0009438D"/>
    <w:rsid w:val="00094919"/>
    <w:rsid w:val="000A1E1B"/>
    <w:rsid w:val="000A3809"/>
    <w:rsid w:val="000A3BD2"/>
    <w:rsid w:val="000A3FA6"/>
    <w:rsid w:val="000A4253"/>
    <w:rsid w:val="000A4469"/>
    <w:rsid w:val="000A56C6"/>
    <w:rsid w:val="000A5B83"/>
    <w:rsid w:val="000A747F"/>
    <w:rsid w:val="000A778B"/>
    <w:rsid w:val="000B11F8"/>
    <w:rsid w:val="000B1B4D"/>
    <w:rsid w:val="000B1C91"/>
    <w:rsid w:val="000B29E0"/>
    <w:rsid w:val="000B2AE1"/>
    <w:rsid w:val="000B5277"/>
    <w:rsid w:val="000B6397"/>
    <w:rsid w:val="000B6F0F"/>
    <w:rsid w:val="000C0795"/>
    <w:rsid w:val="000C35EE"/>
    <w:rsid w:val="000C5639"/>
    <w:rsid w:val="000C58C2"/>
    <w:rsid w:val="000D0679"/>
    <w:rsid w:val="000D15C8"/>
    <w:rsid w:val="000D1F39"/>
    <w:rsid w:val="000D2A7F"/>
    <w:rsid w:val="000D3601"/>
    <w:rsid w:val="000D4309"/>
    <w:rsid w:val="000D4BF2"/>
    <w:rsid w:val="000E00B0"/>
    <w:rsid w:val="000E02B4"/>
    <w:rsid w:val="000E0CB9"/>
    <w:rsid w:val="000E136B"/>
    <w:rsid w:val="000E333A"/>
    <w:rsid w:val="000E39EC"/>
    <w:rsid w:val="000E4831"/>
    <w:rsid w:val="000E7CA1"/>
    <w:rsid w:val="000F0075"/>
    <w:rsid w:val="000F0210"/>
    <w:rsid w:val="000F0D26"/>
    <w:rsid w:val="000F0E5F"/>
    <w:rsid w:val="000F1242"/>
    <w:rsid w:val="000F14B4"/>
    <w:rsid w:val="000F2763"/>
    <w:rsid w:val="000F2931"/>
    <w:rsid w:val="000F38C5"/>
    <w:rsid w:val="000F5673"/>
    <w:rsid w:val="000F5B37"/>
    <w:rsid w:val="000F5D50"/>
    <w:rsid w:val="000F748D"/>
    <w:rsid w:val="001001D6"/>
    <w:rsid w:val="00101EC8"/>
    <w:rsid w:val="00107954"/>
    <w:rsid w:val="00112647"/>
    <w:rsid w:val="00112B05"/>
    <w:rsid w:val="00114400"/>
    <w:rsid w:val="00116F50"/>
    <w:rsid w:val="001179E1"/>
    <w:rsid w:val="00120778"/>
    <w:rsid w:val="00121597"/>
    <w:rsid w:val="00122E8D"/>
    <w:rsid w:val="001230E2"/>
    <w:rsid w:val="00124613"/>
    <w:rsid w:val="001248E1"/>
    <w:rsid w:val="00124FDC"/>
    <w:rsid w:val="001300FC"/>
    <w:rsid w:val="0013075A"/>
    <w:rsid w:val="00130AB3"/>
    <w:rsid w:val="001314AB"/>
    <w:rsid w:val="001318F2"/>
    <w:rsid w:val="00132416"/>
    <w:rsid w:val="0013275E"/>
    <w:rsid w:val="00135DE1"/>
    <w:rsid w:val="001362D3"/>
    <w:rsid w:val="0013756B"/>
    <w:rsid w:val="001422F8"/>
    <w:rsid w:val="00142E26"/>
    <w:rsid w:val="00145395"/>
    <w:rsid w:val="001459AE"/>
    <w:rsid w:val="00145C7C"/>
    <w:rsid w:val="00145DBC"/>
    <w:rsid w:val="00147C02"/>
    <w:rsid w:val="00147CFE"/>
    <w:rsid w:val="00147F41"/>
    <w:rsid w:val="0015063B"/>
    <w:rsid w:val="0015133E"/>
    <w:rsid w:val="00151735"/>
    <w:rsid w:val="00151E3C"/>
    <w:rsid w:val="00153BDE"/>
    <w:rsid w:val="001547F8"/>
    <w:rsid w:val="00154FFB"/>
    <w:rsid w:val="001562D2"/>
    <w:rsid w:val="0015719E"/>
    <w:rsid w:val="00157938"/>
    <w:rsid w:val="00157DE1"/>
    <w:rsid w:val="0016157E"/>
    <w:rsid w:val="00161767"/>
    <w:rsid w:val="00161C22"/>
    <w:rsid w:val="00161D2B"/>
    <w:rsid w:val="0016461D"/>
    <w:rsid w:val="0016463C"/>
    <w:rsid w:val="00165163"/>
    <w:rsid w:val="00172D71"/>
    <w:rsid w:val="00173AEB"/>
    <w:rsid w:val="00174280"/>
    <w:rsid w:val="00175707"/>
    <w:rsid w:val="001760F2"/>
    <w:rsid w:val="0017632B"/>
    <w:rsid w:val="00176F2E"/>
    <w:rsid w:val="001821C9"/>
    <w:rsid w:val="0018449A"/>
    <w:rsid w:val="00185694"/>
    <w:rsid w:val="001873E0"/>
    <w:rsid w:val="00187489"/>
    <w:rsid w:val="00194D1E"/>
    <w:rsid w:val="001970A0"/>
    <w:rsid w:val="001A134C"/>
    <w:rsid w:val="001A3073"/>
    <w:rsid w:val="001A3334"/>
    <w:rsid w:val="001A5E75"/>
    <w:rsid w:val="001B1E3C"/>
    <w:rsid w:val="001B269D"/>
    <w:rsid w:val="001B3629"/>
    <w:rsid w:val="001B540F"/>
    <w:rsid w:val="001B5633"/>
    <w:rsid w:val="001B6014"/>
    <w:rsid w:val="001C1BD1"/>
    <w:rsid w:val="001C1C6F"/>
    <w:rsid w:val="001C411B"/>
    <w:rsid w:val="001C5326"/>
    <w:rsid w:val="001C5E7F"/>
    <w:rsid w:val="001C68E2"/>
    <w:rsid w:val="001D163E"/>
    <w:rsid w:val="001D24BD"/>
    <w:rsid w:val="001D39F6"/>
    <w:rsid w:val="001D524A"/>
    <w:rsid w:val="001D5EAF"/>
    <w:rsid w:val="001D5EDA"/>
    <w:rsid w:val="001D6C4E"/>
    <w:rsid w:val="001E22B3"/>
    <w:rsid w:val="001E3125"/>
    <w:rsid w:val="001E417F"/>
    <w:rsid w:val="001E485A"/>
    <w:rsid w:val="001E4CC7"/>
    <w:rsid w:val="001E6005"/>
    <w:rsid w:val="001E727E"/>
    <w:rsid w:val="001E7EF0"/>
    <w:rsid w:val="001F0AA6"/>
    <w:rsid w:val="001F0E9A"/>
    <w:rsid w:val="001F25A1"/>
    <w:rsid w:val="001F4537"/>
    <w:rsid w:val="00201BAD"/>
    <w:rsid w:val="00210D52"/>
    <w:rsid w:val="002135B1"/>
    <w:rsid w:val="0021392C"/>
    <w:rsid w:val="00214801"/>
    <w:rsid w:val="00214ED1"/>
    <w:rsid w:val="00215E5F"/>
    <w:rsid w:val="00220D0A"/>
    <w:rsid w:val="00220E9B"/>
    <w:rsid w:val="00222D1E"/>
    <w:rsid w:val="0022383E"/>
    <w:rsid w:val="002267A3"/>
    <w:rsid w:val="00227E9E"/>
    <w:rsid w:val="0023427F"/>
    <w:rsid w:val="002345FB"/>
    <w:rsid w:val="002346A0"/>
    <w:rsid w:val="00234950"/>
    <w:rsid w:val="00237443"/>
    <w:rsid w:val="0024389A"/>
    <w:rsid w:val="00244522"/>
    <w:rsid w:val="002474E4"/>
    <w:rsid w:val="00247D4E"/>
    <w:rsid w:val="002524AA"/>
    <w:rsid w:val="00253113"/>
    <w:rsid w:val="00257164"/>
    <w:rsid w:val="002578B8"/>
    <w:rsid w:val="00261225"/>
    <w:rsid w:val="00263676"/>
    <w:rsid w:val="00263DFF"/>
    <w:rsid w:val="0026678D"/>
    <w:rsid w:val="00267A41"/>
    <w:rsid w:val="00267E3B"/>
    <w:rsid w:val="00267F8F"/>
    <w:rsid w:val="00270A7A"/>
    <w:rsid w:val="00271E25"/>
    <w:rsid w:val="0027221E"/>
    <w:rsid w:val="002734E1"/>
    <w:rsid w:val="00275B89"/>
    <w:rsid w:val="002767E5"/>
    <w:rsid w:val="00277097"/>
    <w:rsid w:val="00277907"/>
    <w:rsid w:val="00277A04"/>
    <w:rsid w:val="00280302"/>
    <w:rsid w:val="00281DD8"/>
    <w:rsid w:val="0028208E"/>
    <w:rsid w:val="002822BA"/>
    <w:rsid w:val="00283C71"/>
    <w:rsid w:val="00283C75"/>
    <w:rsid w:val="00290320"/>
    <w:rsid w:val="00290F56"/>
    <w:rsid w:val="002918E8"/>
    <w:rsid w:val="00291D41"/>
    <w:rsid w:val="002928DB"/>
    <w:rsid w:val="00296931"/>
    <w:rsid w:val="002A0203"/>
    <w:rsid w:val="002A03A8"/>
    <w:rsid w:val="002A09EE"/>
    <w:rsid w:val="002A18D1"/>
    <w:rsid w:val="002A1E91"/>
    <w:rsid w:val="002A2C0D"/>
    <w:rsid w:val="002A3292"/>
    <w:rsid w:val="002A351D"/>
    <w:rsid w:val="002A3A86"/>
    <w:rsid w:val="002A3DD0"/>
    <w:rsid w:val="002A501C"/>
    <w:rsid w:val="002A6DE2"/>
    <w:rsid w:val="002A77D7"/>
    <w:rsid w:val="002B109C"/>
    <w:rsid w:val="002B35AA"/>
    <w:rsid w:val="002B3977"/>
    <w:rsid w:val="002B6FC4"/>
    <w:rsid w:val="002B7474"/>
    <w:rsid w:val="002C16D3"/>
    <w:rsid w:val="002C3796"/>
    <w:rsid w:val="002C4196"/>
    <w:rsid w:val="002C482F"/>
    <w:rsid w:val="002C5356"/>
    <w:rsid w:val="002C59FD"/>
    <w:rsid w:val="002C7567"/>
    <w:rsid w:val="002D1058"/>
    <w:rsid w:val="002D3AFF"/>
    <w:rsid w:val="002D4958"/>
    <w:rsid w:val="002D5781"/>
    <w:rsid w:val="002D6267"/>
    <w:rsid w:val="002D637D"/>
    <w:rsid w:val="002D71FE"/>
    <w:rsid w:val="002D7921"/>
    <w:rsid w:val="002E0CED"/>
    <w:rsid w:val="002E115F"/>
    <w:rsid w:val="002E3569"/>
    <w:rsid w:val="002E4007"/>
    <w:rsid w:val="002E4EFF"/>
    <w:rsid w:val="002E4FB1"/>
    <w:rsid w:val="002E5340"/>
    <w:rsid w:val="002E5C88"/>
    <w:rsid w:val="002E66B7"/>
    <w:rsid w:val="002F30B9"/>
    <w:rsid w:val="002F3210"/>
    <w:rsid w:val="002F4AF1"/>
    <w:rsid w:val="002F60DB"/>
    <w:rsid w:val="003006E7"/>
    <w:rsid w:val="00300C68"/>
    <w:rsid w:val="00302718"/>
    <w:rsid w:val="003059E8"/>
    <w:rsid w:val="00305A27"/>
    <w:rsid w:val="0030660B"/>
    <w:rsid w:val="0031004E"/>
    <w:rsid w:val="003135E1"/>
    <w:rsid w:val="00313657"/>
    <w:rsid w:val="00315A73"/>
    <w:rsid w:val="00315E2F"/>
    <w:rsid w:val="00321030"/>
    <w:rsid w:val="003218D4"/>
    <w:rsid w:val="003219F2"/>
    <w:rsid w:val="0032276D"/>
    <w:rsid w:val="0032298A"/>
    <w:rsid w:val="00325446"/>
    <w:rsid w:val="00325CF6"/>
    <w:rsid w:val="00326455"/>
    <w:rsid w:val="00326867"/>
    <w:rsid w:val="00327570"/>
    <w:rsid w:val="00330040"/>
    <w:rsid w:val="003321F2"/>
    <w:rsid w:val="00333713"/>
    <w:rsid w:val="00334712"/>
    <w:rsid w:val="003348C9"/>
    <w:rsid w:val="003350AF"/>
    <w:rsid w:val="00340774"/>
    <w:rsid w:val="003416CE"/>
    <w:rsid w:val="00343DC9"/>
    <w:rsid w:val="00350F56"/>
    <w:rsid w:val="00352C6F"/>
    <w:rsid w:val="00354E70"/>
    <w:rsid w:val="003626CB"/>
    <w:rsid w:val="0036395D"/>
    <w:rsid w:val="00363A3A"/>
    <w:rsid w:val="00364241"/>
    <w:rsid w:val="00365825"/>
    <w:rsid w:val="0036630C"/>
    <w:rsid w:val="00366317"/>
    <w:rsid w:val="0037393E"/>
    <w:rsid w:val="0037783F"/>
    <w:rsid w:val="003811B1"/>
    <w:rsid w:val="003816EC"/>
    <w:rsid w:val="00383392"/>
    <w:rsid w:val="00386B6C"/>
    <w:rsid w:val="00387042"/>
    <w:rsid w:val="003875B6"/>
    <w:rsid w:val="00391A51"/>
    <w:rsid w:val="00391EC0"/>
    <w:rsid w:val="00394975"/>
    <w:rsid w:val="00394BBA"/>
    <w:rsid w:val="00394CF3"/>
    <w:rsid w:val="00396E00"/>
    <w:rsid w:val="0039786E"/>
    <w:rsid w:val="003A36B4"/>
    <w:rsid w:val="003A46CC"/>
    <w:rsid w:val="003A55F8"/>
    <w:rsid w:val="003A5A5D"/>
    <w:rsid w:val="003A62CB"/>
    <w:rsid w:val="003A7DCB"/>
    <w:rsid w:val="003B0A25"/>
    <w:rsid w:val="003B0C73"/>
    <w:rsid w:val="003B38A7"/>
    <w:rsid w:val="003B4B0E"/>
    <w:rsid w:val="003B634F"/>
    <w:rsid w:val="003B6681"/>
    <w:rsid w:val="003B77BD"/>
    <w:rsid w:val="003C40E6"/>
    <w:rsid w:val="003C5D0D"/>
    <w:rsid w:val="003C795B"/>
    <w:rsid w:val="003D09D8"/>
    <w:rsid w:val="003D1166"/>
    <w:rsid w:val="003D2899"/>
    <w:rsid w:val="003D3C68"/>
    <w:rsid w:val="003D42C6"/>
    <w:rsid w:val="003D58F1"/>
    <w:rsid w:val="003E0C9F"/>
    <w:rsid w:val="003E0CB1"/>
    <w:rsid w:val="003E1CEE"/>
    <w:rsid w:val="003E3D87"/>
    <w:rsid w:val="003E4C50"/>
    <w:rsid w:val="003E4C70"/>
    <w:rsid w:val="003E4EB1"/>
    <w:rsid w:val="003E65E1"/>
    <w:rsid w:val="003E743D"/>
    <w:rsid w:val="003F0E62"/>
    <w:rsid w:val="003F3DE3"/>
    <w:rsid w:val="003F55B6"/>
    <w:rsid w:val="003F76DE"/>
    <w:rsid w:val="00405273"/>
    <w:rsid w:val="004052D8"/>
    <w:rsid w:val="00405959"/>
    <w:rsid w:val="00414DBE"/>
    <w:rsid w:val="00415606"/>
    <w:rsid w:val="00417431"/>
    <w:rsid w:val="00421533"/>
    <w:rsid w:val="00421596"/>
    <w:rsid w:val="00424E57"/>
    <w:rsid w:val="0042503D"/>
    <w:rsid w:val="00425781"/>
    <w:rsid w:val="00425962"/>
    <w:rsid w:val="00426492"/>
    <w:rsid w:val="00431020"/>
    <w:rsid w:val="004323C2"/>
    <w:rsid w:val="00432795"/>
    <w:rsid w:val="00433AA1"/>
    <w:rsid w:val="00442270"/>
    <w:rsid w:val="004475E4"/>
    <w:rsid w:val="00447C65"/>
    <w:rsid w:val="00447F80"/>
    <w:rsid w:val="00451501"/>
    <w:rsid w:val="00451CE6"/>
    <w:rsid w:val="004528D6"/>
    <w:rsid w:val="004533FD"/>
    <w:rsid w:val="00456350"/>
    <w:rsid w:val="00460B9A"/>
    <w:rsid w:val="00463310"/>
    <w:rsid w:val="00464953"/>
    <w:rsid w:val="00465DBB"/>
    <w:rsid w:val="004671DA"/>
    <w:rsid w:val="004672AC"/>
    <w:rsid w:val="00470902"/>
    <w:rsid w:val="00472A0F"/>
    <w:rsid w:val="0047302F"/>
    <w:rsid w:val="00481AD1"/>
    <w:rsid w:val="004866FB"/>
    <w:rsid w:val="00487350"/>
    <w:rsid w:val="00490507"/>
    <w:rsid w:val="00490CAD"/>
    <w:rsid w:val="00491E29"/>
    <w:rsid w:val="004961BB"/>
    <w:rsid w:val="004970D6"/>
    <w:rsid w:val="004979E1"/>
    <w:rsid w:val="004A07B6"/>
    <w:rsid w:val="004A0B8B"/>
    <w:rsid w:val="004A36BC"/>
    <w:rsid w:val="004A4994"/>
    <w:rsid w:val="004A4F18"/>
    <w:rsid w:val="004A6CE9"/>
    <w:rsid w:val="004B15F0"/>
    <w:rsid w:val="004B17DC"/>
    <w:rsid w:val="004B4B2D"/>
    <w:rsid w:val="004B4F4F"/>
    <w:rsid w:val="004B573E"/>
    <w:rsid w:val="004C00D2"/>
    <w:rsid w:val="004C1C4D"/>
    <w:rsid w:val="004C22BB"/>
    <w:rsid w:val="004C2626"/>
    <w:rsid w:val="004C283F"/>
    <w:rsid w:val="004C4208"/>
    <w:rsid w:val="004C52A6"/>
    <w:rsid w:val="004C6D02"/>
    <w:rsid w:val="004D07A3"/>
    <w:rsid w:val="004D0F2F"/>
    <w:rsid w:val="004D3311"/>
    <w:rsid w:val="004D34CC"/>
    <w:rsid w:val="004D5EE1"/>
    <w:rsid w:val="004E3926"/>
    <w:rsid w:val="004E47A9"/>
    <w:rsid w:val="004F243C"/>
    <w:rsid w:val="004F4F4A"/>
    <w:rsid w:val="004F589C"/>
    <w:rsid w:val="004F7221"/>
    <w:rsid w:val="004F793C"/>
    <w:rsid w:val="005001EC"/>
    <w:rsid w:val="00502E60"/>
    <w:rsid w:val="005059F8"/>
    <w:rsid w:val="00506C3A"/>
    <w:rsid w:val="005107F5"/>
    <w:rsid w:val="00510A25"/>
    <w:rsid w:val="00511019"/>
    <w:rsid w:val="00511F5D"/>
    <w:rsid w:val="00513A7A"/>
    <w:rsid w:val="00514360"/>
    <w:rsid w:val="005149F9"/>
    <w:rsid w:val="00516099"/>
    <w:rsid w:val="0051670A"/>
    <w:rsid w:val="00516FCA"/>
    <w:rsid w:val="00520ADC"/>
    <w:rsid w:val="00520EBD"/>
    <w:rsid w:val="00522CA2"/>
    <w:rsid w:val="00522DCF"/>
    <w:rsid w:val="00522F1E"/>
    <w:rsid w:val="00530305"/>
    <w:rsid w:val="00530FB6"/>
    <w:rsid w:val="00531A89"/>
    <w:rsid w:val="00531F2A"/>
    <w:rsid w:val="00532221"/>
    <w:rsid w:val="005331E8"/>
    <w:rsid w:val="00533982"/>
    <w:rsid w:val="00534553"/>
    <w:rsid w:val="005360E5"/>
    <w:rsid w:val="005361A2"/>
    <w:rsid w:val="005406C3"/>
    <w:rsid w:val="0054261B"/>
    <w:rsid w:val="0054272A"/>
    <w:rsid w:val="00544AD0"/>
    <w:rsid w:val="0054686B"/>
    <w:rsid w:val="00546ED7"/>
    <w:rsid w:val="005478AD"/>
    <w:rsid w:val="00552F96"/>
    <w:rsid w:val="00553EFD"/>
    <w:rsid w:val="00554019"/>
    <w:rsid w:val="0055697D"/>
    <w:rsid w:val="00556E20"/>
    <w:rsid w:val="005602EE"/>
    <w:rsid w:val="00560829"/>
    <w:rsid w:val="00561177"/>
    <w:rsid w:val="00562427"/>
    <w:rsid w:val="00563D16"/>
    <w:rsid w:val="005652C1"/>
    <w:rsid w:val="00565DF7"/>
    <w:rsid w:val="005672F2"/>
    <w:rsid w:val="00570089"/>
    <w:rsid w:val="005703D9"/>
    <w:rsid w:val="005734D4"/>
    <w:rsid w:val="005802F2"/>
    <w:rsid w:val="00580887"/>
    <w:rsid w:val="005837F4"/>
    <w:rsid w:val="0059034F"/>
    <w:rsid w:val="00591F1A"/>
    <w:rsid w:val="0059242D"/>
    <w:rsid w:val="00592591"/>
    <w:rsid w:val="00594064"/>
    <w:rsid w:val="00594228"/>
    <w:rsid w:val="0059655B"/>
    <w:rsid w:val="005A1497"/>
    <w:rsid w:val="005A330B"/>
    <w:rsid w:val="005A3514"/>
    <w:rsid w:val="005A4493"/>
    <w:rsid w:val="005A536F"/>
    <w:rsid w:val="005A6BE8"/>
    <w:rsid w:val="005B2328"/>
    <w:rsid w:val="005B458D"/>
    <w:rsid w:val="005B483D"/>
    <w:rsid w:val="005B5AD5"/>
    <w:rsid w:val="005B6A8A"/>
    <w:rsid w:val="005C03EB"/>
    <w:rsid w:val="005C11B6"/>
    <w:rsid w:val="005C14AC"/>
    <w:rsid w:val="005C38AB"/>
    <w:rsid w:val="005C4C7C"/>
    <w:rsid w:val="005C5693"/>
    <w:rsid w:val="005D3EB9"/>
    <w:rsid w:val="005D5DD6"/>
    <w:rsid w:val="005D7DDA"/>
    <w:rsid w:val="005D7E94"/>
    <w:rsid w:val="005E0399"/>
    <w:rsid w:val="005E2B30"/>
    <w:rsid w:val="005E3610"/>
    <w:rsid w:val="005E6D70"/>
    <w:rsid w:val="005F0649"/>
    <w:rsid w:val="005F0A9A"/>
    <w:rsid w:val="005F2A42"/>
    <w:rsid w:val="005F3006"/>
    <w:rsid w:val="005F563D"/>
    <w:rsid w:val="005F59F9"/>
    <w:rsid w:val="00601EEA"/>
    <w:rsid w:val="00602474"/>
    <w:rsid w:val="00602D56"/>
    <w:rsid w:val="006031E5"/>
    <w:rsid w:val="00604170"/>
    <w:rsid w:val="006054E9"/>
    <w:rsid w:val="0061062C"/>
    <w:rsid w:val="006109CF"/>
    <w:rsid w:val="0061106D"/>
    <w:rsid w:val="00611480"/>
    <w:rsid w:val="00616F0E"/>
    <w:rsid w:val="00617AC0"/>
    <w:rsid w:val="006201ED"/>
    <w:rsid w:val="006208E7"/>
    <w:rsid w:val="0062134E"/>
    <w:rsid w:val="00622095"/>
    <w:rsid w:val="006225AE"/>
    <w:rsid w:val="006226CB"/>
    <w:rsid w:val="00622899"/>
    <w:rsid w:val="00624737"/>
    <w:rsid w:val="00631B3A"/>
    <w:rsid w:val="0063358D"/>
    <w:rsid w:val="006377F0"/>
    <w:rsid w:val="00637DDF"/>
    <w:rsid w:val="0064055B"/>
    <w:rsid w:val="00641054"/>
    <w:rsid w:val="006411E8"/>
    <w:rsid w:val="00641CBE"/>
    <w:rsid w:val="00642CD8"/>
    <w:rsid w:val="006461DC"/>
    <w:rsid w:val="00650336"/>
    <w:rsid w:val="00651040"/>
    <w:rsid w:val="00652817"/>
    <w:rsid w:val="00654564"/>
    <w:rsid w:val="006549D3"/>
    <w:rsid w:val="0065595B"/>
    <w:rsid w:val="00656055"/>
    <w:rsid w:val="00656D23"/>
    <w:rsid w:val="006573DF"/>
    <w:rsid w:val="00657E34"/>
    <w:rsid w:val="00663E2A"/>
    <w:rsid w:val="00666242"/>
    <w:rsid w:val="00667914"/>
    <w:rsid w:val="00671323"/>
    <w:rsid w:val="006715D3"/>
    <w:rsid w:val="00675165"/>
    <w:rsid w:val="00675B77"/>
    <w:rsid w:val="006775BA"/>
    <w:rsid w:val="006803D3"/>
    <w:rsid w:val="006839B7"/>
    <w:rsid w:val="00684B24"/>
    <w:rsid w:val="00687379"/>
    <w:rsid w:val="00690476"/>
    <w:rsid w:val="00690753"/>
    <w:rsid w:val="00692DD4"/>
    <w:rsid w:val="006957EF"/>
    <w:rsid w:val="00696A7C"/>
    <w:rsid w:val="00696E0F"/>
    <w:rsid w:val="00697D1D"/>
    <w:rsid w:val="006A0088"/>
    <w:rsid w:val="006A17BD"/>
    <w:rsid w:val="006A3CC4"/>
    <w:rsid w:val="006A4027"/>
    <w:rsid w:val="006A449F"/>
    <w:rsid w:val="006A567C"/>
    <w:rsid w:val="006A7810"/>
    <w:rsid w:val="006B0C6D"/>
    <w:rsid w:val="006B1F53"/>
    <w:rsid w:val="006B21CE"/>
    <w:rsid w:val="006B2614"/>
    <w:rsid w:val="006B3273"/>
    <w:rsid w:val="006B42B3"/>
    <w:rsid w:val="006B6A38"/>
    <w:rsid w:val="006B73CA"/>
    <w:rsid w:val="006C210D"/>
    <w:rsid w:val="006C2D30"/>
    <w:rsid w:val="006C4F7E"/>
    <w:rsid w:val="006C7317"/>
    <w:rsid w:val="006C7B81"/>
    <w:rsid w:val="006D2EC4"/>
    <w:rsid w:val="006D4231"/>
    <w:rsid w:val="006D59AC"/>
    <w:rsid w:val="006D5E1C"/>
    <w:rsid w:val="006D7BB1"/>
    <w:rsid w:val="006E0B5B"/>
    <w:rsid w:val="006E0BEE"/>
    <w:rsid w:val="006E1B1E"/>
    <w:rsid w:val="006E1B23"/>
    <w:rsid w:val="006E286D"/>
    <w:rsid w:val="006E2DAF"/>
    <w:rsid w:val="006E349B"/>
    <w:rsid w:val="006E401C"/>
    <w:rsid w:val="006F4002"/>
    <w:rsid w:val="006F5DAD"/>
    <w:rsid w:val="0070208A"/>
    <w:rsid w:val="0070294D"/>
    <w:rsid w:val="0071029A"/>
    <w:rsid w:val="00710F67"/>
    <w:rsid w:val="00713EFB"/>
    <w:rsid w:val="00716937"/>
    <w:rsid w:val="00717052"/>
    <w:rsid w:val="00717060"/>
    <w:rsid w:val="0072192C"/>
    <w:rsid w:val="007234A8"/>
    <w:rsid w:val="00724DE9"/>
    <w:rsid w:val="00726750"/>
    <w:rsid w:val="00727C82"/>
    <w:rsid w:val="00730B2B"/>
    <w:rsid w:val="00732D70"/>
    <w:rsid w:val="0073587D"/>
    <w:rsid w:val="00735E90"/>
    <w:rsid w:val="00736579"/>
    <w:rsid w:val="00737491"/>
    <w:rsid w:val="007423F7"/>
    <w:rsid w:val="007426D8"/>
    <w:rsid w:val="00743528"/>
    <w:rsid w:val="00744ED3"/>
    <w:rsid w:val="00745B0F"/>
    <w:rsid w:val="007468E3"/>
    <w:rsid w:val="00753FFD"/>
    <w:rsid w:val="00756E46"/>
    <w:rsid w:val="00757FB9"/>
    <w:rsid w:val="00760CD7"/>
    <w:rsid w:val="0076207A"/>
    <w:rsid w:val="00762F05"/>
    <w:rsid w:val="00770A24"/>
    <w:rsid w:val="00770CBB"/>
    <w:rsid w:val="007712F3"/>
    <w:rsid w:val="00772764"/>
    <w:rsid w:val="0077327C"/>
    <w:rsid w:val="0077399D"/>
    <w:rsid w:val="00777022"/>
    <w:rsid w:val="00781806"/>
    <w:rsid w:val="00782BD5"/>
    <w:rsid w:val="00782C66"/>
    <w:rsid w:val="00784105"/>
    <w:rsid w:val="0078440C"/>
    <w:rsid w:val="00784BFA"/>
    <w:rsid w:val="00785E83"/>
    <w:rsid w:val="007871E4"/>
    <w:rsid w:val="00787EDF"/>
    <w:rsid w:val="00791642"/>
    <w:rsid w:val="00795732"/>
    <w:rsid w:val="00796E53"/>
    <w:rsid w:val="00797100"/>
    <w:rsid w:val="007A0FF7"/>
    <w:rsid w:val="007A3424"/>
    <w:rsid w:val="007A3EA8"/>
    <w:rsid w:val="007A5DF9"/>
    <w:rsid w:val="007A796C"/>
    <w:rsid w:val="007A7D0A"/>
    <w:rsid w:val="007A7DEC"/>
    <w:rsid w:val="007B25C2"/>
    <w:rsid w:val="007B3106"/>
    <w:rsid w:val="007B5C1B"/>
    <w:rsid w:val="007B6105"/>
    <w:rsid w:val="007B6838"/>
    <w:rsid w:val="007C126F"/>
    <w:rsid w:val="007C2D50"/>
    <w:rsid w:val="007C580E"/>
    <w:rsid w:val="007C6727"/>
    <w:rsid w:val="007D249C"/>
    <w:rsid w:val="007D4A71"/>
    <w:rsid w:val="007D6351"/>
    <w:rsid w:val="007D74EE"/>
    <w:rsid w:val="007E1CBA"/>
    <w:rsid w:val="007E1FED"/>
    <w:rsid w:val="007E778D"/>
    <w:rsid w:val="007F0E6B"/>
    <w:rsid w:val="007F0F0E"/>
    <w:rsid w:val="007F158D"/>
    <w:rsid w:val="007F3B31"/>
    <w:rsid w:val="007F3C2F"/>
    <w:rsid w:val="007F3C40"/>
    <w:rsid w:val="007F4050"/>
    <w:rsid w:val="007F4E7D"/>
    <w:rsid w:val="007F6AD0"/>
    <w:rsid w:val="007F6B26"/>
    <w:rsid w:val="00800270"/>
    <w:rsid w:val="00802E4B"/>
    <w:rsid w:val="00803BE1"/>
    <w:rsid w:val="00806CFD"/>
    <w:rsid w:val="00807CBD"/>
    <w:rsid w:val="00811B44"/>
    <w:rsid w:val="00811EA0"/>
    <w:rsid w:val="008132C9"/>
    <w:rsid w:val="00813CEC"/>
    <w:rsid w:val="00814750"/>
    <w:rsid w:val="00814E3B"/>
    <w:rsid w:val="008150B9"/>
    <w:rsid w:val="00817D25"/>
    <w:rsid w:val="008208B2"/>
    <w:rsid w:val="0082179E"/>
    <w:rsid w:val="00821C3E"/>
    <w:rsid w:val="008226A3"/>
    <w:rsid w:val="00825E86"/>
    <w:rsid w:val="00831048"/>
    <w:rsid w:val="008321DE"/>
    <w:rsid w:val="008323A6"/>
    <w:rsid w:val="008334E2"/>
    <w:rsid w:val="00835168"/>
    <w:rsid w:val="00835636"/>
    <w:rsid w:val="00836C7F"/>
    <w:rsid w:val="00841E4A"/>
    <w:rsid w:val="00843752"/>
    <w:rsid w:val="00843FA3"/>
    <w:rsid w:val="008441C9"/>
    <w:rsid w:val="00846066"/>
    <w:rsid w:val="00846AEA"/>
    <w:rsid w:val="00846DAF"/>
    <w:rsid w:val="00850008"/>
    <w:rsid w:val="00853B6D"/>
    <w:rsid w:val="008544A3"/>
    <w:rsid w:val="008566C1"/>
    <w:rsid w:val="008572A8"/>
    <w:rsid w:val="00862413"/>
    <w:rsid w:val="00863696"/>
    <w:rsid w:val="008676D4"/>
    <w:rsid w:val="00867701"/>
    <w:rsid w:val="008707EB"/>
    <w:rsid w:val="008709D1"/>
    <w:rsid w:val="00871AAD"/>
    <w:rsid w:val="00874FCD"/>
    <w:rsid w:val="00877C4D"/>
    <w:rsid w:val="00880E51"/>
    <w:rsid w:val="00882868"/>
    <w:rsid w:val="00882976"/>
    <w:rsid w:val="0088444B"/>
    <w:rsid w:val="00884BA7"/>
    <w:rsid w:val="00885F34"/>
    <w:rsid w:val="00886A5B"/>
    <w:rsid w:val="00886C3A"/>
    <w:rsid w:val="00887C6E"/>
    <w:rsid w:val="00892B1C"/>
    <w:rsid w:val="0089452B"/>
    <w:rsid w:val="00894832"/>
    <w:rsid w:val="008A1F5D"/>
    <w:rsid w:val="008A24EE"/>
    <w:rsid w:val="008A2F38"/>
    <w:rsid w:val="008A301D"/>
    <w:rsid w:val="008A426C"/>
    <w:rsid w:val="008A4F1C"/>
    <w:rsid w:val="008A4FCE"/>
    <w:rsid w:val="008A5C96"/>
    <w:rsid w:val="008A6E38"/>
    <w:rsid w:val="008B105C"/>
    <w:rsid w:val="008B1FD7"/>
    <w:rsid w:val="008B2454"/>
    <w:rsid w:val="008B30EB"/>
    <w:rsid w:val="008B43A1"/>
    <w:rsid w:val="008B4F66"/>
    <w:rsid w:val="008B516F"/>
    <w:rsid w:val="008B63B8"/>
    <w:rsid w:val="008B74B7"/>
    <w:rsid w:val="008B79D7"/>
    <w:rsid w:val="008C1706"/>
    <w:rsid w:val="008C21E6"/>
    <w:rsid w:val="008C31A8"/>
    <w:rsid w:val="008C335A"/>
    <w:rsid w:val="008C3748"/>
    <w:rsid w:val="008C4122"/>
    <w:rsid w:val="008C4E81"/>
    <w:rsid w:val="008C65BD"/>
    <w:rsid w:val="008C737B"/>
    <w:rsid w:val="008C7719"/>
    <w:rsid w:val="008D321F"/>
    <w:rsid w:val="008D4B18"/>
    <w:rsid w:val="008D4FF6"/>
    <w:rsid w:val="008D5152"/>
    <w:rsid w:val="008D5D96"/>
    <w:rsid w:val="008D6E36"/>
    <w:rsid w:val="008D6F3B"/>
    <w:rsid w:val="008E0918"/>
    <w:rsid w:val="008E0C08"/>
    <w:rsid w:val="008E11C5"/>
    <w:rsid w:val="008E50BB"/>
    <w:rsid w:val="008E513E"/>
    <w:rsid w:val="008E5502"/>
    <w:rsid w:val="008E697B"/>
    <w:rsid w:val="008E6C28"/>
    <w:rsid w:val="008F0D20"/>
    <w:rsid w:val="008F20C4"/>
    <w:rsid w:val="008F279B"/>
    <w:rsid w:val="008F44ED"/>
    <w:rsid w:val="008F4954"/>
    <w:rsid w:val="008F696D"/>
    <w:rsid w:val="008F6EFB"/>
    <w:rsid w:val="00900BA3"/>
    <w:rsid w:val="00902298"/>
    <w:rsid w:val="009028CB"/>
    <w:rsid w:val="00902AC0"/>
    <w:rsid w:val="00903111"/>
    <w:rsid w:val="00910863"/>
    <w:rsid w:val="009113C7"/>
    <w:rsid w:val="009129EB"/>
    <w:rsid w:val="0091448B"/>
    <w:rsid w:val="00914EC4"/>
    <w:rsid w:val="00915BF8"/>
    <w:rsid w:val="00917036"/>
    <w:rsid w:val="00920951"/>
    <w:rsid w:val="00920B7D"/>
    <w:rsid w:val="00920F5E"/>
    <w:rsid w:val="009215EC"/>
    <w:rsid w:val="0092413A"/>
    <w:rsid w:val="009242B9"/>
    <w:rsid w:val="00925B14"/>
    <w:rsid w:val="00926AF1"/>
    <w:rsid w:val="0092715A"/>
    <w:rsid w:val="0093138C"/>
    <w:rsid w:val="00932A59"/>
    <w:rsid w:val="00932C3B"/>
    <w:rsid w:val="009337DD"/>
    <w:rsid w:val="009343D3"/>
    <w:rsid w:val="00934781"/>
    <w:rsid w:val="00935FA0"/>
    <w:rsid w:val="00937409"/>
    <w:rsid w:val="00937EE0"/>
    <w:rsid w:val="00942AF1"/>
    <w:rsid w:val="00942BC2"/>
    <w:rsid w:val="00943202"/>
    <w:rsid w:val="0094386B"/>
    <w:rsid w:val="00944389"/>
    <w:rsid w:val="009459FC"/>
    <w:rsid w:val="00945A94"/>
    <w:rsid w:val="00947954"/>
    <w:rsid w:val="00947B62"/>
    <w:rsid w:val="00954499"/>
    <w:rsid w:val="00954D99"/>
    <w:rsid w:val="009554C0"/>
    <w:rsid w:val="00956265"/>
    <w:rsid w:val="00956464"/>
    <w:rsid w:val="00957B05"/>
    <w:rsid w:val="00957BD8"/>
    <w:rsid w:val="00961639"/>
    <w:rsid w:val="00962629"/>
    <w:rsid w:val="009632D9"/>
    <w:rsid w:val="00963C08"/>
    <w:rsid w:val="0096401E"/>
    <w:rsid w:val="00964D82"/>
    <w:rsid w:val="009652E6"/>
    <w:rsid w:val="009677B6"/>
    <w:rsid w:val="00967ED5"/>
    <w:rsid w:val="00971041"/>
    <w:rsid w:val="00975679"/>
    <w:rsid w:val="00980C35"/>
    <w:rsid w:val="00981DEE"/>
    <w:rsid w:val="009837B1"/>
    <w:rsid w:val="0098497E"/>
    <w:rsid w:val="00991C0D"/>
    <w:rsid w:val="009930C6"/>
    <w:rsid w:val="00994E2D"/>
    <w:rsid w:val="00996E68"/>
    <w:rsid w:val="009974F8"/>
    <w:rsid w:val="009A0181"/>
    <w:rsid w:val="009A0AA5"/>
    <w:rsid w:val="009A1BDA"/>
    <w:rsid w:val="009A29DA"/>
    <w:rsid w:val="009A2CC4"/>
    <w:rsid w:val="009A4411"/>
    <w:rsid w:val="009A45BC"/>
    <w:rsid w:val="009A49D9"/>
    <w:rsid w:val="009A71EE"/>
    <w:rsid w:val="009A75A9"/>
    <w:rsid w:val="009B36E3"/>
    <w:rsid w:val="009B370C"/>
    <w:rsid w:val="009B4D52"/>
    <w:rsid w:val="009C0024"/>
    <w:rsid w:val="009C0A9F"/>
    <w:rsid w:val="009C1250"/>
    <w:rsid w:val="009C183C"/>
    <w:rsid w:val="009C33F5"/>
    <w:rsid w:val="009C449A"/>
    <w:rsid w:val="009C4C42"/>
    <w:rsid w:val="009C5341"/>
    <w:rsid w:val="009C760E"/>
    <w:rsid w:val="009D070D"/>
    <w:rsid w:val="009D2B1C"/>
    <w:rsid w:val="009D306C"/>
    <w:rsid w:val="009D3EDF"/>
    <w:rsid w:val="009D4341"/>
    <w:rsid w:val="009D4688"/>
    <w:rsid w:val="009D5A55"/>
    <w:rsid w:val="009D634A"/>
    <w:rsid w:val="009D6A96"/>
    <w:rsid w:val="009D6EAC"/>
    <w:rsid w:val="009D78DE"/>
    <w:rsid w:val="009E0066"/>
    <w:rsid w:val="009E21B7"/>
    <w:rsid w:val="009E3967"/>
    <w:rsid w:val="009E4733"/>
    <w:rsid w:val="009E6314"/>
    <w:rsid w:val="009E65C2"/>
    <w:rsid w:val="009E7327"/>
    <w:rsid w:val="009E7619"/>
    <w:rsid w:val="009F034D"/>
    <w:rsid w:val="009F0848"/>
    <w:rsid w:val="009F1B86"/>
    <w:rsid w:val="009F2DD7"/>
    <w:rsid w:val="009F4CEB"/>
    <w:rsid w:val="009F6553"/>
    <w:rsid w:val="009F6B07"/>
    <w:rsid w:val="00A00174"/>
    <w:rsid w:val="00A011FA"/>
    <w:rsid w:val="00A01F63"/>
    <w:rsid w:val="00A0563B"/>
    <w:rsid w:val="00A07590"/>
    <w:rsid w:val="00A07B04"/>
    <w:rsid w:val="00A11EA0"/>
    <w:rsid w:val="00A122E8"/>
    <w:rsid w:val="00A130FF"/>
    <w:rsid w:val="00A13281"/>
    <w:rsid w:val="00A14832"/>
    <w:rsid w:val="00A20D93"/>
    <w:rsid w:val="00A21BFB"/>
    <w:rsid w:val="00A24149"/>
    <w:rsid w:val="00A2574E"/>
    <w:rsid w:val="00A25EDE"/>
    <w:rsid w:val="00A26ED3"/>
    <w:rsid w:val="00A307B2"/>
    <w:rsid w:val="00A3080D"/>
    <w:rsid w:val="00A32770"/>
    <w:rsid w:val="00A32D45"/>
    <w:rsid w:val="00A33695"/>
    <w:rsid w:val="00A33840"/>
    <w:rsid w:val="00A33DBA"/>
    <w:rsid w:val="00A34966"/>
    <w:rsid w:val="00A408EA"/>
    <w:rsid w:val="00A409DD"/>
    <w:rsid w:val="00A43A8C"/>
    <w:rsid w:val="00A47041"/>
    <w:rsid w:val="00A47E62"/>
    <w:rsid w:val="00A50D4E"/>
    <w:rsid w:val="00A5127C"/>
    <w:rsid w:val="00A55927"/>
    <w:rsid w:val="00A56F0B"/>
    <w:rsid w:val="00A60CC4"/>
    <w:rsid w:val="00A62A44"/>
    <w:rsid w:val="00A63984"/>
    <w:rsid w:val="00A64688"/>
    <w:rsid w:val="00A64CC1"/>
    <w:rsid w:val="00A67398"/>
    <w:rsid w:val="00A70380"/>
    <w:rsid w:val="00A71014"/>
    <w:rsid w:val="00A71B89"/>
    <w:rsid w:val="00A7307E"/>
    <w:rsid w:val="00A742E7"/>
    <w:rsid w:val="00A75E7D"/>
    <w:rsid w:val="00A76229"/>
    <w:rsid w:val="00A772A7"/>
    <w:rsid w:val="00A80129"/>
    <w:rsid w:val="00A80EC4"/>
    <w:rsid w:val="00A814A4"/>
    <w:rsid w:val="00A834FF"/>
    <w:rsid w:val="00A844AF"/>
    <w:rsid w:val="00A850B0"/>
    <w:rsid w:val="00A8727C"/>
    <w:rsid w:val="00A87D18"/>
    <w:rsid w:val="00A913E7"/>
    <w:rsid w:val="00A9462E"/>
    <w:rsid w:val="00A95E6D"/>
    <w:rsid w:val="00AA0728"/>
    <w:rsid w:val="00AA1B74"/>
    <w:rsid w:val="00AA20AC"/>
    <w:rsid w:val="00AA3323"/>
    <w:rsid w:val="00AA76AE"/>
    <w:rsid w:val="00AB0570"/>
    <w:rsid w:val="00AB0E9A"/>
    <w:rsid w:val="00AB0EBD"/>
    <w:rsid w:val="00AB1B90"/>
    <w:rsid w:val="00AB2899"/>
    <w:rsid w:val="00AB4059"/>
    <w:rsid w:val="00AB4388"/>
    <w:rsid w:val="00AB5928"/>
    <w:rsid w:val="00AB5CBE"/>
    <w:rsid w:val="00AC08F6"/>
    <w:rsid w:val="00AC0E9B"/>
    <w:rsid w:val="00AC24DC"/>
    <w:rsid w:val="00AC2986"/>
    <w:rsid w:val="00AC2E98"/>
    <w:rsid w:val="00AC67F1"/>
    <w:rsid w:val="00AC729D"/>
    <w:rsid w:val="00AD1A8A"/>
    <w:rsid w:val="00AD491B"/>
    <w:rsid w:val="00AE062D"/>
    <w:rsid w:val="00AE1BFE"/>
    <w:rsid w:val="00AE2123"/>
    <w:rsid w:val="00AE216F"/>
    <w:rsid w:val="00AE22F5"/>
    <w:rsid w:val="00AE3BC9"/>
    <w:rsid w:val="00AE3ED1"/>
    <w:rsid w:val="00AE476B"/>
    <w:rsid w:val="00AE50AD"/>
    <w:rsid w:val="00AE6843"/>
    <w:rsid w:val="00AF4AF2"/>
    <w:rsid w:val="00AF5B56"/>
    <w:rsid w:val="00B0026F"/>
    <w:rsid w:val="00B02031"/>
    <w:rsid w:val="00B02322"/>
    <w:rsid w:val="00B028EF"/>
    <w:rsid w:val="00B06F0A"/>
    <w:rsid w:val="00B07864"/>
    <w:rsid w:val="00B10F0A"/>
    <w:rsid w:val="00B12B07"/>
    <w:rsid w:val="00B13675"/>
    <w:rsid w:val="00B14367"/>
    <w:rsid w:val="00B1681E"/>
    <w:rsid w:val="00B1743E"/>
    <w:rsid w:val="00B17C06"/>
    <w:rsid w:val="00B21BF4"/>
    <w:rsid w:val="00B23125"/>
    <w:rsid w:val="00B236CE"/>
    <w:rsid w:val="00B34BEF"/>
    <w:rsid w:val="00B36058"/>
    <w:rsid w:val="00B36BCD"/>
    <w:rsid w:val="00B406F6"/>
    <w:rsid w:val="00B42B6E"/>
    <w:rsid w:val="00B45707"/>
    <w:rsid w:val="00B4636D"/>
    <w:rsid w:val="00B50DB1"/>
    <w:rsid w:val="00B53E16"/>
    <w:rsid w:val="00B5683E"/>
    <w:rsid w:val="00B56DD4"/>
    <w:rsid w:val="00B57979"/>
    <w:rsid w:val="00B57C56"/>
    <w:rsid w:val="00B57CAF"/>
    <w:rsid w:val="00B57F4C"/>
    <w:rsid w:val="00B60DE9"/>
    <w:rsid w:val="00B637A8"/>
    <w:rsid w:val="00B63BF2"/>
    <w:rsid w:val="00B6681B"/>
    <w:rsid w:val="00B71EC4"/>
    <w:rsid w:val="00B72437"/>
    <w:rsid w:val="00B72D38"/>
    <w:rsid w:val="00B73C02"/>
    <w:rsid w:val="00B74433"/>
    <w:rsid w:val="00B74BCA"/>
    <w:rsid w:val="00B751C6"/>
    <w:rsid w:val="00B752F1"/>
    <w:rsid w:val="00B756C8"/>
    <w:rsid w:val="00B76843"/>
    <w:rsid w:val="00B77473"/>
    <w:rsid w:val="00B801DA"/>
    <w:rsid w:val="00B80FC5"/>
    <w:rsid w:val="00B81CF2"/>
    <w:rsid w:val="00B81DFC"/>
    <w:rsid w:val="00B83345"/>
    <w:rsid w:val="00B83E72"/>
    <w:rsid w:val="00B83EC5"/>
    <w:rsid w:val="00B86F4F"/>
    <w:rsid w:val="00B90034"/>
    <w:rsid w:val="00B913A7"/>
    <w:rsid w:val="00B941A5"/>
    <w:rsid w:val="00B9555A"/>
    <w:rsid w:val="00BA017E"/>
    <w:rsid w:val="00BA0BBC"/>
    <w:rsid w:val="00BA18AB"/>
    <w:rsid w:val="00BA479D"/>
    <w:rsid w:val="00BA521C"/>
    <w:rsid w:val="00BA613A"/>
    <w:rsid w:val="00BB23DE"/>
    <w:rsid w:val="00BB4615"/>
    <w:rsid w:val="00BB5620"/>
    <w:rsid w:val="00BC0F0D"/>
    <w:rsid w:val="00BC2003"/>
    <w:rsid w:val="00BC35EA"/>
    <w:rsid w:val="00BC3F45"/>
    <w:rsid w:val="00BC5A58"/>
    <w:rsid w:val="00BD1DB6"/>
    <w:rsid w:val="00BD33A6"/>
    <w:rsid w:val="00BD3C60"/>
    <w:rsid w:val="00BD5ED1"/>
    <w:rsid w:val="00BD6097"/>
    <w:rsid w:val="00BD6692"/>
    <w:rsid w:val="00BD7FC9"/>
    <w:rsid w:val="00BE1183"/>
    <w:rsid w:val="00BE21CC"/>
    <w:rsid w:val="00BE3503"/>
    <w:rsid w:val="00BE49A6"/>
    <w:rsid w:val="00BE57E4"/>
    <w:rsid w:val="00BF09E5"/>
    <w:rsid w:val="00BF2D73"/>
    <w:rsid w:val="00BF3B3C"/>
    <w:rsid w:val="00BF4841"/>
    <w:rsid w:val="00BF5930"/>
    <w:rsid w:val="00C029A5"/>
    <w:rsid w:val="00C029F0"/>
    <w:rsid w:val="00C02BC4"/>
    <w:rsid w:val="00C03BCA"/>
    <w:rsid w:val="00C05A82"/>
    <w:rsid w:val="00C10824"/>
    <w:rsid w:val="00C143F0"/>
    <w:rsid w:val="00C151AC"/>
    <w:rsid w:val="00C15316"/>
    <w:rsid w:val="00C15390"/>
    <w:rsid w:val="00C16288"/>
    <w:rsid w:val="00C162CC"/>
    <w:rsid w:val="00C1787A"/>
    <w:rsid w:val="00C22D70"/>
    <w:rsid w:val="00C25D17"/>
    <w:rsid w:val="00C26F63"/>
    <w:rsid w:val="00C27319"/>
    <w:rsid w:val="00C30A1A"/>
    <w:rsid w:val="00C34421"/>
    <w:rsid w:val="00C37DF8"/>
    <w:rsid w:val="00C37EBE"/>
    <w:rsid w:val="00C4069A"/>
    <w:rsid w:val="00C428F9"/>
    <w:rsid w:val="00C43082"/>
    <w:rsid w:val="00C4517D"/>
    <w:rsid w:val="00C45AF1"/>
    <w:rsid w:val="00C460E7"/>
    <w:rsid w:val="00C479C2"/>
    <w:rsid w:val="00C51A09"/>
    <w:rsid w:val="00C5336D"/>
    <w:rsid w:val="00C53823"/>
    <w:rsid w:val="00C5556E"/>
    <w:rsid w:val="00C566BC"/>
    <w:rsid w:val="00C56C40"/>
    <w:rsid w:val="00C620F1"/>
    <w:rsid w:val="00C62BE1"/>
    <w:rsid w:val="00C64265"/>
    <w:rsid w:val="00C650F9"/>
    <w:rsid w:val="00C700F5"/>
    <w:rsid w:val="00C71064"/>
    <w:rsid w:val="00C74127"/>
    <w:rsid w:val="00C7650B"/>
    <w:rsid w:val="00C7747C"/>
    <w:rsid w:val="00C82296"/>
    <w:rsid w:val="00C836E1"/>
    <w:rsid w:val="00C85A16"/>
    <w:rsid w:val="00C85B55"/>
    <w:rsid w:val="00C85F21"/>
    <w:rsid w:val="00C868B1"/>
    <w:rsid w:val="00C90108"/>
    <w:rsid w:val="00C91973"/>
    <w:rsid w:val="00C92242"/>
    <w:rsid w:val="00C924A3"/>
    <w:rsid w:val="00C94ABC"/>
    <w:rsid w:val="00C9525E"/>
    <w:rsid w:val="00C96500"/>
    <w:rsid w:val="00CA03DB"/>
    <w:rsid w:val="00CA12D4"/>
    <w:rsid w:val="00CA1807"/>
    <w:rsid w:val="00CA4D95"/>
    <w:rsid w:val="00CA6E44"/>
    <w:rsid w:val="00CB0393"/>
    <w:rsid w:val="00CB06A1"/>
    <w:rsid w:val="00CB1B68"/>
    <w:rsid w:val="00CB1C1E"/>
    <w:rsid w:val="00CB3ECF"/>
    <w:rsid w:val="00CB5342"/>
    <w:rsid w:val="00CB5E6D"/>
    <w:rsid w:val="00CC0550"/>
    <w:rsid w:val="00CC25DA"/>
    <w:rsid w:val="00CC274F"/>
    <w:rsid w:val="00CC34A1"/>
    <w:rsid w:val="00CC35AE"/>
    <w:rsid w:val="00CC3E43"/>
    <w:rsid w:val="00CC68D1"/>
    <w:rsid w:val="00CD0A2C"/>
    <w:rsid w:val="00CD156D"/>
    <w:rsid w:val="00CD3CC1"/>
    <w:rsid w:val="00CD5AFE"/>
    <w:rsid w:val="00CD7B14"/>
    <w:rsid w:val="00CD7BD0"/>
    <w:rsid w:val="00CE019C"/>
    <w:rsid w:val="00CE0408"/>
    <w:rsid w:val="00CE14DE"/>
    <w:rsid w:val="00CE42AC"/>
    <w:rsid w:val="00CE6A7E"/>
    <w:rsid w:val="00CE7EE3"/>
    <w:rsid w:val="00CF0CA8"/>
    <w:rsid w:val="00CF214A"/>
    <w:rsid w:val="00CF39EC"/>
    <w:rsid w:val="00CF4564"/>
    <w:rsid w:val="00CF5DC0"/>
    <w:rsid w:val="00CF6118"/>
    <w:rsid w:val="00D00CE2"/>
    <w:rsid w:val="00D02427"/>
    <w:rsid w:val="00D03FF9"/>
    <w:rsid w:val="00D04825"/>
    <w:rsid w:val="00D07DEC"/>
    <w:rsid w:val="00D12059"/>
    <w:rsid w:val="00D12E3E"/>
    <w:rsid w:val="00D13931"/>
    <w:rsid w:val="00D14360"/>
    <w:rsid w:val="00D21860"/>
    <w:rsid w:val="00D21FDD"/>
    <w:rsid w:val="00D22B6E"/>
    <w:rsid w:val="00D237C4"/>
    <w:rsid w:val="00D25BD0"/>
    <w:rsid w:val="00D311BD"/>
    <w:rsid w:val="00D31557"/>
    <w:rsid w:val="00D317E1"/>
    <w:rsid w:val="00D3438A"/>
    <w:rsid w:val="00D368EE"/>
    <w:rsid w:val="00D37069"/>
    <w:rsid w:val="00D41390"/>
    <w:rsid w:val="00D41E1D"/>
    <w:rsid w:val="00D50679"/>
    <w:rsid w:val="00D53429"/>
    <w:rsid w:val="00D55058"/>
    <w:rsid w:val="00D565E0"/>
    <w:rsid w:val="00D62B3A"/>
    <w:rsid w:val="00D632A2"/>
    <w:rsid w:val="00D63524"/>
    <w:rsid w:val="00D636D5"/>
    <w:rsid w:val="00D66B17"/>
    <w:rsid w:val="00D739DC"/>
    <w:rsid w:val="00D74347"/>
    <w:rsid w:val="00D74F49"/>
    <w:rsid w:val="00D760E6"/>
    <w:rsid w:val="00D76295"/>
    <w:rsid w:val="00D763D9"/>
    <w:rsid w:val="00D80B89"/>
    <w:rsid w:val="00D80E98"/>
    <w:rsid w:val="00D81285"/>
    <w:rsid w:val="00D81A94"/>
    <w:rsid w:val="00D84332"/>
    <w:rsid w:val="00D8469E"/>
    <w:rsid w:val="00D84899"/>
    <w:rsid w:val="00D86FB3"/>
    <w:rsid w:val="00D877CB"/>
    <w:rsid w:val="00D90F07"/>
    <w:rsid w:val="00D92F2E"/>
    <w:rsid w:val="00D94092"/>
    <w:rsid w:val="00D96124"/>
    <w:rsid w:val="00D97C48"/>
    <w:rsid w:val="00DA15D9"/>
    <w:rsid w:val="00DA2863"/>
    <w:rsid w:val="00DA3850"/>
    <w:rsid w:val="00DA420C"/>
    <w:rsid w:val="00DA486D"/>
    <w:rsid w:val="00DA518D"/>
    <w:rsid w:val="00DB0194"/>
    <w:rsid w:val="00DB11EF"/>
    <w:rsid w:val="00DB2982"/>
    <w:rsid w:val="00DB368D"/>
    <w:rsid w:val="00DB3CCE"/>
    <w:rsid w:val="00DB6632"/>
    <w:rsid w:val="00DB6C67"/>
    <w:rsid w:val="00DB6FF3"/>
    <w:rsid w:val="00DC1BB5"/>
    <w:rsid w:val="00DC2CF4"/>
    <w:rsid w:val="00DC7721"/>
    <w:rsid w:val="00DD08C9"/>
    <w:rsid w:val="00DD4D1E"/>
    <w:rsid w:val="00DD534F"/>
    <w:rsid w:val="00DD5730"/>
    <w:rsid w:val="00DD6C57"/>
    <w:rsid w:val="00DE081C"/>
    <w:rsid w:val="00DE0967"/>
    <w:rsid w:val="00DE1A9A"/>
    <w:rsid w:val="00DE3687"/>
    <w:rsid w:val="00DE6416"/>
    <w:rsid w:val="00DE650E"/>
    <w:rsid w:val="00DF0E10"/>
    <w:rsid w:val="00DF183E"/>
    <w:rsid w:val="00DF24C5"/>
    <w:rsid w:val="00DF300F"/>
    <w:rsid w:val="00DF44FF"/>
    <w:rsid w:val="00DF4ECD"/>
    <w:rsid w:val="00DF68C8"/>
    <w:rsid w:val="00E007F5"/>
    <w:rsid w:val="00E00E10"/>
    <w:rsid w:val="00E016F2"/>
    <w:rsid w:val="00E01C66"/>
    <w:rsid w:val="00E03947"/>
    <w:rsid w:val="00E046F4"/>
    <w:rsid w:val="00E049F3"/>
    <w:rsid w:val="00E06CD4"/>
    <w:rsid w:val="00E06DE5"/>
    <w:rsid w:val="00E11F6A"/>
    <w:rsid w:val="00E128A8"/>
    <w:rsid w:val="00E148FD"/>
    <w:rsid w:val="00E14D91"/>
    <w:rsid w:val="00E1557C"/>
    <w:rsid w:val="00E17A6E"/>
    <w:rsid w:val="00E2033F"/>
    <w:rsid w:val="00E25992"/>
    <w:rsid w:val="00E27B55"/>
    <w:rsid w:val="00E27D2F"/>
    <w:rsid w:val="00E309E8"/>
    <w:rsid w:val="00E33FA3"/>
    <w:rsid w:val="00E34346"/>
    <w:rsid w:val="00E3540A"/>
    <w:rsid w:val="00E36250"/>
    <w:rsid w:val="00E37841"/>
    <w:rsid w:val="00E40444"/>
    <w:rsid w:val="00E410E1"/>
    <w:rsid w:val="00E418A6"/>
    <w:rsid w:val="00E435DF"/>
    <w:rsid w:val="00E43DD2"/>
    <w:rsid w:val="00E4700D"/>
    <w:rsid w:val="00E47965"/>
    <w:rsid w:val="00E5113F"/>
    <w:rsid w:val="00E5535E"/>
    <w:rsid w:val="00E559FA"/>
    <w:rsid w:val="00E56CB8"/>
    <w:rsid w:val="00E57047"/>
    <w:rsid w:val="00E570CC"/>
    <w:rsid w:val="00E57BDA"/>
    <w:rsid w:val="00E57F56"/>
    <w:rsid w:val="00E605EA"/>
    <w:rsid w:val="00E60F9F"/>
    <w:rsid w:val="00E61A7C"/>
    <w:rsid w:val="00E61F8F"/>
    <w:rsid w:val="00E62ADD"/>
    <w:rsid w:val="00E630AF"/>
    <w:rsid w:val="00E644C2"/>
    <w:rsid w:val="00E64FE0"/>
    <w:rsid w:val="00E653BD"/>
    <w:rsid w:val="00E6598B"/>
    <w:rsid w:val="00E65B5D"/>
    <w:rsid w:val="00E65E00"/>
    <w:rsid w:val="00E66027"/>
    <w:rsid w:val="00E6630C"/>
    <w:rsid w:val="00E729AE"/>
    <w:rsid w:val="00E74525"/>
    <w:rsid w:val="00E7457D"/>
    <w:rsid w:val="00E759D7"/>
    <w:rsid w:val="00E775EA"/>
    <w:rsid w:val="00E83281"/>
    <w:rsid w:val="00E87ECF"/>
    <w:rsid w:val="00E91076"/>
    <w:rsid w:val="00E926FA"/>
    <w:rsid w:val="00E92B22"/>
    <w:rsid w:val="00E943E5"/>
    <w:rsid w:val="00E9585B"/>
    <w:rsid w:val="00E9683C"/>
    <w:rsid w:val="00EA2809"/>
    <w:rsid w:val="00EA3790"/>
    <w:rsid w:val="00EA41E9"/>
    <w:rsid w:val="00EA5B58"/>
    <w:rsid w:val="00EA5E03"/>
    <w:rsid w:val="00EA5EC2"/>
    <w:rsid w:val="00EB00CD"/>
    <w:rsid w:val="00EB10CE"/>
    <w:rsid w:val="00EB1E4E"/>
    <w:rsid w:val="00EB2029"/>
    <w:rsid w:val="00EB3E0F"/>
    <w:rsid w:val="00EB7D48"/>
    <w:rsid w:val="00EC088D"/>
    <w:rsid w:val="00EC25A8"/>
    <w:rsid w:val="00EC3212"/>
    <w:rsid w:val="00EC34EA"/>
    <w:rsid w:val="00EC3B62"/>
    <w:rsid w:val="00EC6427"/>
    <w:rsid w:val="00ED1286"/>
    <w:rsid w:val="00ED1816"/>
    <w:rsid w:val="00ED3B0D"/>
    <w:rsid w:val="00ED55BB"/>
    <w:rsid w:val="00ED6001"/>
    <w:rsid w:val="00EE1511"/>
    <w:rsid w:val="00EE1BF5"/>
    <w:rsid w:val="00EE1F4D"/>
    <w:rsid w:val="00EE38E9"/>
    <w:rsid w:val="00EE3ACD"/>
    <w:rsid w:val="00EE4881"/>
    <w:rsid w:val="00EE5E69"/>
    <w:rsid w:val="00EF26E7"/>
    <w:rsid w:val="00EF2F73"/>
    <w:rsid w:val="00EF3144"/>
    <w:rsid w:val="00EF4A1C"/>
    <w:rsid w:val="00EF750C"/>
    <w:rsid w:val="00F02F3F"/>
    <w:rsid w:val="00F04418"/>
    <w:rsid w:val="00F0622E"/>
    <w:rsid w:val="00F07D42"/>
    <w:rsid w:val="00F10592"/>
    <w:rsid w:val="00F1303C"/>
    <w:rsid w:val="00F134C8"/>
    <w:rsid w:val="00F16533"/>
    <w:rsid w:val="00F171D4"/>
    <w:rsid w:val="00F17AA1"/>
    <w:rsid w:val="00F17B22"/>
    <w:rsid w:val="00F2006C"/>
    <w:rsid w:val="00F2084D"/>
    <w:rsid w:val="00F21D87"/>
    <w:rsid w:val="00F22685"/>
    <w:rsid w:val="00F246ED"/>
    <w:rsid w:val="00F24CF7"/>
    <w:rsid w:val="00F25BB4"/>
    <w:rsid w:val="00F32452"/>
    <w:rsid w:val="00F32701"/>
    <w:rsid w:val="00F33217"/>
    <w:rsid w:val="00F33996"/>
    <w:rsid w:val="00F376F6"/>
    <w:rsid w:val="00F40757"/>
    <w:rsid w:val="00F42317"/>
    <w:rsid w:val="00F42371"/>
    <w:rsid w:val="00F43393"/>
    <w:rsid w:val="00F44F66"/>
    <w:rsid w:val="00F4523A"/>
    <w:rsid w:val="00F45E38"/>
    <w:rsid w:val="00F468F5"/>
    <w:rsid w:val="00F50A4C"/>
    <w:rsid w:val="00F50EA9"/>
    <w:rsid w:val="00F53647"/>
    <w:rsid w:val="00F5519A"/>
    <w:rsid w:val="00F55646"/>
    <w:rsid w:val="00F55A01"/>
    <w:rsid w:val="00F604DE"/>
    <w:rsid w:val="00F612E4"/>
    <w:rsid w:val="00F627D8"/>
    <w:rsid w:val="00F62A33"/>
    <w:rsid w:val="00F64622"/>
    <w:rsid w:val="00F67B58"/>
    <w:rsid w:val="00F74211"/>
    <w:rsid w:val="00F74D0B"/>
    <w:rsid w:val="00F757F1"/>
    <w:rsid w:val="00F75B76"/>
    <w:rsid w:val="00F7670E"/>
    <w:rsid w:val="00F84389"/>
    <w:rsid w:val="00F9199C"/>
    <w:rsid w:val="00F952DD"/>
    <w:rsid w:val="00FA0633"/>
    <w:rsid w:val="00FA09E3"/>
    <w:rsid w:val="00FA1276"/>
    <w:rsid w:val="00FA343B"/>
    <w:rsid w:val="00FA3B79"/>
    <w:rsid w:val="00FB057B"/>
    <w:rsid w:val="00FB1729"/>
    <w:rsid w:val="00FB3259"/>
    <w:rsid w:val="00FB42EC"/>
    <w:rsid w:val="00FB5A64"/>
    <w:rsid w:val="00FB6CC3"/>
    <w:rsid w:val="00FB7167"/>
    <w:rsid w:val="00FB7968"/>
    <w:rsid w:val="00FB7F5C"/>
    <w:rsid w:val="00FB7FFB"/>
    <w:rsid w:val="00FC0C4B"/>
    <w:rsid w:val="00FC150C"/>
    <w:rsid w:val="00FC2484"/>
    <w:rsid w:val="00FC2752"/>
    <w:rsid w:val="00FC38FE"/>
    <w:rsid w:val="00FC4425"/>
    <w:rsid w:val="00FC52AA"/>
    <w:rsid w:val="00FC57C5"/>
    <w:rsid w:val="00FC59F9"/>
    <w:rsid w:val="00FC5B0A"/>
    <w:rsid w:val="00FD16B2"/>
    <w:rsid w:val="00FD1CCE"/>
    <w:rsid w:val="00FD2CFD"/>
    <w:rsid w:val="00FD3734"/>
    <w:rsid w:val="00FD51C5"/>
    <w:rsid w:val="00FD5928"/>
    <w:rsid w:val="00FD63F3"/>
    <w:rsid w:val="00FD6720"/>
    <w:rsid w:val="00FD7467"/>
    <w:rsid w:val="00FE09B4"/>
    <w:rsid w:val="00FE14D5"/>
    <w:rsid w:val="00FE31FC"/>
    <w:rsid w:val="00FE4EB7"/>
    <w:rsid w:val="00FE65E6"/>
    <w:rsid w:val="00FF4EC2"/>
    <w:rsid w:val="00FF508F"/>
    <w:rsid w:val="00FF50AC"/>
    <w:rsid w:val="00FF7BD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6">
      <o:colormru v:ext="edit" colors="#d31145,#fffddf,#ffecd6"/>
    </o:shapedefaults>
    <o:shapelayout v:ext="edit">
      <o:idmap v:ext="edit" data="1"/>
    </o:shapelayout>
  </w:shapeDefaults>
  <w:decimalSymbol w:val="."/>
  <w:listSeparator w:val=","/>
  <w14:docId w14:val="66AFEFBE"/>
  <w15:docId w15:val="{265A1FC7-0CA2-4508-A2C8-5A345C156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64B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5FB"/>
    <w:rPr>
      <w:rFonts w:eastAsia="Times New Roman" w:cs="Helvetica-Light"/>
      <w:b/>
      <w:bCs/>
      <w:sz w:val="40"/>
      <w:szCs w:val="28"/>
    </w:rPr>
  </w:style>
  <w:style w:type="character" w:customStyle="1" w:styleId="Heading2Char">
    <w:name w:val="Heading 2 Char"/>
    <w:basedOn w:val="DefaultParagraphFont"/>
    <w:link w:val="Heading2"/>
    <w:rsid w:val="002345FB"/>
    <w:rPr>
      <w:rFonts w:eastAsia="Times New Roman" w:cs="Helvetica-Light"/>
      <w:b/>
      <w:bCs/>
      <w:color w:val="000000"/>
      <w:sz w:val="32"/>
      <w:szCs w:val="26"/>
    </w:rPr>
  </w:style>
  <w:style w:type="character" w:customStyle="1" w:styleId="Heading3Char">
    <w:name w:val="Heading 3 Char"/>
    <w:basedOn w:val="DefaultParagraphFont"/>
    <w:link w:val="Heading3"/>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uiPriority w:val="99"/>
    <w:rsid w:val="0054686B"/>
    <w:rPr>
      <w:sz w:val="16"/>
      <w:szCs w:val="16"/>
    </w:rPr>
  </w:style>
  <w:style w:type="paragraph" w:styleId="CommentSubject">
    <w:name w:val="annotation subject"/>
    <w:basedOn w:val="CommentText"/>
    <w:next w:val="CommentText"/>
    <w:link w:val="CommentSubjectChar"/>
    <w:uiPriority w:val="99"/>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uiPriority w:val="99"/>
    <w:semiHidden/>
    <w:rsid w:val="0054686B"/>
    <w:rPr>
      <w:rFonts w:eastAsia="Calibri" w:cs="Helvetica-Light"/>
      <w:b/>
      <w:bCs/>
      <w:color w:val="000000"/>
      <w:sz w:val="20"/>
      <w:szCs w:val="20"/>
      <w:lang w:eastAsia="en-US"/>
    </w:rPr>
  </w:style>
  <w:style w:type="paragraph" w:styleId="BalloonText">
    <w:name w:val="Balloon Text"/>
    <w:basedOn w:val="Normal"/>
    <w:link w:val="BalloonTextChar"/>
    <w:uiPriority w:val="99"/>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styleId="NoteHeading">
    <w:name w:val="Note Heading"/>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99"/>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 w:type="paragraph" w:customStyle="1" w:styleId="footnotedescription">
    <w:name w:val="footnote description"/>
    <w:next w:val="Normal"/>
    <w:link w:val="footnotedescriptionChar"/>
    <w:hidden/>
    <w:rsid w:val="003D58F1"/>
    <w:pPr>
      <w:spacing w:after="66" w:line="259" w:lineRule="auto"/>
      <w:ind w:left="682"/>
    </w:pPr>
    <w:rPr>
      <w:rFonts w:ascii="Calibri" w:eastAsia="Calibri" w:hAnsi="Calibri" w:cs="Calibri"/>
      <w:color w:val="000000"/>
      <w:sz w:val="14"/>
      <w:szCs w:val="22"/>
    </w:rPr>
  </w:style>
  <w:style w:type="character" w:customStyle="1" w:styleId="footnotedescriptionChar">
    <w:name w:val="footnote description Char"/>
    <w:link w:val="footnotedescription"/>
    <w:rsid w:val="003D58F1"/>
    <w:rPr>
      <w:rFonts w:ascii="Calibri" w:eastAsia="Calibri" w:hAnsi="Calibri" w:cs="Calibri"/>
      <w:color w:val="000000"/>
      <w:sz w:val="14"/>
      <w:szCs w:val="22"/>
    </w:rPr>
  </w:style>
  <w:style w:type="character" w:customStyle="1" w:styleId="footnotemark">
    <w:name w:val="footnote mark"/>
    <w:hidden/>
    <w:rsid w:val="003D58F1"/>
    <w:rPr>
      <w:rFonts w:ascii="Calibri" w:eastAsia="Calibri" w:hAnsi="Calibri" w:cs="Calibri"/>
      <w:color w:val="000000"/>
      <w:sz w:val="14"/>
      <w:vertAlign w:val="superscript"/>
    </w:rPr>
  </w:style>
  <w:style w:type="table" w:customStyle="1" w:styleId="TableGrid8">
    <w:name w:val="Table Grid8"/>
    <w:basedOn w:val="TableNormal"/>
    <w:next w:val="TableGrid"/>
    <w:uiPriority w:val="39"/>
    <w:rsid w:val="006B4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1D5EDA"/>
    <w:pPr>
      <w:spacing w:line="241" w:lineRule="atLeast"/>
    </w:pPr>
    <w:rPr>
      <w:rFonts w:ascii="Arial Narrow" w:hAnsi="Arial Narrow" w:cstheme="minorBidi"/>
      <w:color w:val="auto"/>
    </w:rPr>
  </w:style>
  <w:style w:type="paragraph" w:customStyle="1" w:styleId="ParaAttribute2">
    <w:name w:val="ParaAttribute2"/>
    <w:rsid w:val="00882976"/>
    <w:pPr>
      <w:wordWrap w:val="0"/>
      <w:spacing w:after="160"/>
    </w:pPr>
    <w:rPr>
      <w:rFonts w:ascii="Times New Roman" w:eastAsia="Batang" w:hAnsi="Times New Roman"/>
    </w:rPr>
  </w:style>
  <w:style w:type="paragraph" w:customStyle="1" w:styleId="ParaAttribute3">
    <w:name w:val="ParaAttribute3"/>
    <w:rsid w:val="00882976"/>
    <w:pPr>
      <w:wordWrap w:val="0"/>
      <w:spacing w:after="160"/>
    </w:pPr>
    <w:rPr>
      <w:rFonts w:ascii="Times New Roman" w:eastAsia="Batang" w:hAnsi="Times New Roman"/>
    </w:rPr>
  </w:style>
  <w:style w:type="paragraph" w:customStyle="1" w:styleId="ParaAttribute7">
    <w:name w:val="ParaAttribute7"/>
    <w:rsid w:val="00882976"/>
    <w:pPr>
      <w:wordWrap w:val="0"/>
      <w:jc w:val="both"/>
    </w:pPr>
    <w:rPr>
      <w:rFonts w:ascii="Times New Roman" w:eastAsia="Batang" w:hAnsi="Times New Roman"/>
    </w:rPr>
  </w:style>
  <w:style w:type="paragraph" w:customStyle="1" w:styleId="ParaAttribute9">
    <w:name w:val="ParaAttribute9"/>
    <w:rsid w:val="00882976"/>
    <w:pPr>
      <w:wordWrap w:val="0"/>
      <w:spacing w:after="200"/>
      <w:jc w:val="both"/>
    </w:pPr>
    <w:rPr>
      <w:rFonts w:ascii="Times New Roman" w:eastAsia="Batang" w:hAnsi="Times New Roman"/>
    </w:rPr>
  </w:style>
  <w:style w:type="character" w:customStyle="1" w:styleId="CharAttribute1">
    <w:name w:val="CharAttribute1"/>
    <w:rsid w:val="00882976"/>
    <w:rPr>
      <w:rFonts w:ascii="Calibri" w:eastAsia="Calibri"/>
      <w:b/>
      <w:sz w:val="24"/>
      <w:u w:val="single"/>
    </w:rPr>
  </w:style>
  <w:style w:type="character" w:customStyle="1" w:styleId="CharAttribute9">
    <w:name w:val="CharAttribute9"/>
    <w:rsid w:val="00882976"/>
    <w:rPr>
      <w:rFonts w:ascii="Calibri" w:eastAsia="Calibri"/>
      <w:i/>
      <w:sz w:val="22"/>
    </w:rPr>
  </w:style>
  <w:style w:type="character" w:customStyle="1" w:styleId="CharAttribute14">
    <w:name w:val="CharAttribute14"/>
    <w:rsid w:val="00882976"/>
    <w:rPr>
      <w:rFonts w:ascii="Arial" w:eastAsia="Arial"/>
      <w:sz w:val="24"/>
    </w:rPr>
  </w:style>
  <w:style w:type="character" w:customStyle="1" w:styleId="CharAttribute16">
    <w:name w:val="CharAttribute16"/>
    <w:rsid w:val="00882976"/>
    <w:rPr>
      <w:rFonts w:ascii="Arial" w:eastAsia="Arial"/>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129">
      <w:bodyDiv w:val="1"/>
      <w:marLeft w:val="0"/>
      <w:marRight w:val="0"/>
      <w:marTop w:val="0"/>
      <w:marBottom w:val="0"/>
      <w:divBdr>
        <w:top w:val="none" w:sz="0" w:space="0" w:color="auto"/>
        <w:left w:val="none" w:sz="0" w:space="0" w:color="auto"/>
        <w:bottom w:val="none" w:sz="0" w:space="0" w:color="auto"/>
        <w:right w:val="none" w:sz="0" w:space="0" w:color="auto"/>
      </w:divBdr>
    </w:div>
    <w:div w:id="85611312">
      <w:bodyDiv w:val="1"/>
      <w:marLeft w:val="0"/>
      <w:marRight w:val="0"/>
      <w:marTop w:val="0"/>
      <w:marBottom w:val="0"/>
      <w:divBdr>
        <w:top w:val="none" w:sz="0" w:space="0" w:color="auto"/>
        <w:left w:val="none" w:sz="0" w:space="0" w:color="auto"/>
        <w:bottom w:val="none" w:sz="0" w:space="0" w:color="auto"/>
        <w:right w:val="none" w:sz="0" w:space="0" w:color="auto"/>
      </w:divBdr>
    </w:div>
    <w:div w:id="195625006">
      <w:bodyDiv w:val="1"/>
      <w:marLeft w:val="0"/>
      <w:marRight w:val="0"/>
      <w:marTop w:val="0"/>
      <w:marBottom w:val="0"/>
      <w:divBdr>
        <w:top w:val="none" w:sz="0" w:space="0" w:color="auto"/>
        <w:left w:val="none" w:sz="0" w:space="0" w:color="auto"/>
        <w:bottom w:val="none" w:sz="0" w:space="0" w:color="auto"/>
        <w:right w:val="none" w:sz="0" w:space="0" w:color="auto"/>
      </w:divBdr>
    </w:div>
    <w:div w:id="202063893">
      <w:bodyDiv w:val="1"/>
      <w:marLeft w:val="0"/>
      <w:marRight w:val="0"/>
      <w:marTop w:val="0"/>
      <w:marBottom w:val="0"/>
      <w:divBdr>
        <w:top w:val="none" w:sz="0" w:space="0" w:color="auto"/>
        <w:left w:val="none" w:sz="0" w:space="0" w:color="auto"/>
        <w:bottom w:val="none" w:sz="0" w:space="0" w:color="auto"/>
        <w:right w:val="none" w:sz="0" w:space="0" w:color="auto"/>
      </w:divBdr>
    </w:div>
    <w:div w:id="236943434">
      <w:bodyDiv w:val="1"/>
      <w:marLeft w:val="0"/>
      <w:marRight w:val="0"/>
      <w:marTop w:val="0"/>
      <w:marBottom w:val="0"/>
      <w:divBdr>
        <w:top w:val="none" w:sz="0" w:space="0" w:color="auto"/>
        <w:left w:val="none" w:sz="0" w:space="0" w:color="auto"/>
        <w:bottom w:val="none" w:sz="0" w:space="0" w:color="auto"/>
        <w:right w:val="none" w:sz="0" w:space="0" w:color="auto"/>
      </w:divBdr>
    </w:div>
    <w:div w:id="323360412">
      <w:bodyDiv w:val="1"/>
      <w:marLeft w:val="0"/>
      <w:marRight w:val="0"/>
      <w:marTop w:val="0"/>
      <w:marBottom w:val="0"/>
      <w:divBdr>
        <w:top w:val="none" w:sz="0" w:space="0" w:color="auto"/>
        <w:left w:val="none" w:sz="0" w:space="0" w:color="auto"/>
        <w:bottom w:val="none" w:sz="0" w:space="0" w:color="auto"/>
        <w:right w:val="none" w:sz="0" w:space="0" w:color="auto"/>
      </w:divBdr>
    </w:div>
    <w:div w:id="434709246">
      <w:bodyDiv w:val="1"/>
      <w:marLeft w:val="0"/>
      <w:marRight w:val="0"/>
      <w:marTop w:val="0"/>
      <w:marBottom w:val="0"/>
      <w:divBdr>
        <w:top w:val="none" w:sz="0" w:space="0" w:color="auto"/>
        <w:left w:val="none" w:sz="0" w:space="0" w:color="auto"/>
        <w:bottom w:val="none" w:sz="0" w:space="0" w:color="auto"/>
        <w:right w:val="none" w:sz="0" w:space="0" w:color="auto"/>
      </w:divBdr>
    </w:div>
    <w:div w:id="446314983">
      <w:bodyDiv w:val="1"/>
      <w:marLeft w:val="0"/>
      <w:marRight w:val="0"/>
      <w:marTop w:val="0"/>
      <w:marBottom w:val="0"/>
      <w:divBdr>
        <w:top w:val="none" w:sz="0" w:space="0" w:color="auto"/>
        <w:left w:val="none" w:sz="0" w:space="0" w:color="auto"/>
        <w:bottom w:val="none" w:sz="0" w:space="0" w:color="auto"/>
        <w:right w:val="none" w:sz="0" w:space="0" w:color="auto"/>
      </w:divBdr>
    </w:div>
    <w:div w:id="489055915">
      <w:bodyDiv w:val="1"/>
      <w:marLeft w:val="0"/>
      <w:marRight w:val="0"/>
      <w:marTop w:val="0"/>
      <w:marBottom w:val="0"/>
      <w:divBdr>
        <w:top w:val="none" w:sz="0" w:space="0" w:color="auto"/>
        <w:left w:val="none" w:sz="0" w:space="0" w:color="auto"/>
        <w:bottom w:val="none" w:sz="0" w:space="0" w:color="auto"/>
        <w:right w:val="none" w:sz="0" w:space="0" w:color="auto"/>
      </w:divBdr>
    </w:div>
    <w:div w:id="614599431">
      <w:bodyDiv w:val="1"/>
      <w:marLeft w:val="0"/>
      <w:marRight w:val="0"/>
      <w:marTop w:val="0"/>
      <w:marBottom w:val="0"/>
      <w:divBdr>
        <w:top w:val="none" w:sz="0" w:space="0" w:color="auto"/>
        <w:left w:val="none" w:sz="0" w:space="0" w:color="auto"/>
        <w:bottom w:val="none" w:sz="0" w:space="0" w:color="auto"/>
        <w:right w:val="none" w:sz="0" w:space="0" w:color="auto"/>
      </w:divBdr>
    </w:div>
    <w:div w:id="631330300">
      <w:bodyDiv w:val="1"/>
      <w:marLeft w:val="0"/>
      <w:marRight w:val="0"/>
      <w:marTop w:val="0"/>
      <w:marBottom w:val="0"/>
      <w:divBdr>
        <w:top w:val="none" w:sz="0" w:space="0" w:color="auto"/>
        <w:left w:val="none" w:sz="0" w:space="0" w:color="auto"/>
        <w:bottom w:val="none" w:sz="0" w:space="0" w:color="auto"/>
        <w:right w:val="none" w:sz="0" w:space="0" w:color="auto"/>
      </w:divBdr>
    </w:div>
    <w:div w:id="747386411">
      <w:bodyDiv w:val="1"/>
      <w:marLeft w:val="0"/>
      <w:marRight w:val="0"/>
      <w:marTop w:val="0"/>
      <w:marBottom w:val="0"/>
      <w:divBdr>
        <w:top w:val="none" w:sz="0" w:space="0" w:color="auto"/>
        <w:left w:val="none" w:sz="0" w:space="0" w:color="auto"/>
        <w:bottom w:val="none" w:sz="0" w:space="0" w:color="auto"/>
        <w:right w:val="none" w:sz="0" w:space="0" w:color="auto"/>
      </w:divBdr>
    </w:div>
    <w:div w:id="787360127">
      <w:bodyDiv w:val="1"/>
      <w:marLeft w:val="0"/>
      <w:marRight w:val="0"/>
      <w:marTop w:val="0"/>
      <w:marBottom w:val="0"/>
      <w:divBdr>
        <w:top w:val="none" w:sz="0" w:space="0" w:color="auto"/>
        <w:left w:val="none" w:sz="0" w:space="0" w:color="auto"/>
        <w:bottom w:val="none" w:sz="0" w:space="0" w:color="auto"/>
        <w:right w:val="none" w:sz="0" w:space="0" w:color="auto"/>
      </w:divBdr>
    </w:div>
    <w:div w:id="793868416">
      <w:bodyDiv w:val="1"/>
      <w:marLeft w:val="0"/>
      <w:marRight w:val="0"/>
      <w:marTop w:val="0"/>
      <w:marBottom w:val="0"/>
      <w:divBdr>
        <w:top w:val="none" w:sz="0" w:space="0" w:color="auto"/>
        <w:left w:val="none" w:sz="0" w:space="0" w:color="auto"/>
        <w:bottom w:val="none" w:sz="0" w:space="0" w:color="auto"/>
        <w:right w:val="none" w:sz="0" w:space="0" w:color="auto"/>
      </w:divBdr>
    </w:div>
    <w:div w:id="872613931">
      <w:bodyDiv w:val="1"/>
      <w:marLeft w:val="0"/>
      <w:marRight w:val="0"/>
      <w:marTop w:val="0"/>
      <w:marBottom w:val="0"/>
      <w:divBdr>
        <w:top w:val="none" w:sz="0" w:space="0" w:color="auto"/>
        <w:left w:val="none" w:sz="0" w:space="0" w:color="auto"/>
        <w:bottom w:val="none" w:sz="0" w:space="0" w:color="auto"/>
        <w:right w:val="none" w:sz="0" w:space="0" w:color="auto"/>
      </w:divBdr>
    </w:div>
    <w:div w:id="905917550">
      <w:bodyDiv w:val="1"/>
      <w:marLeft w:val="0"/>
      <w:marRight w:val="0"/>
      <w:marTop w:val="0"/>
      <w:marBottom w:val="0"/>
      <w:divBdr>
        <w:top w:val="none" w:sz="0" w:space="0" w:color="auto"/>
        <w:left w:val="none" w:sz="0" w:space="0" w:color="auto"/>
        <w:bottom w:val="none" w:sz="0" w:space="0" w:color="auto"/>
        <w:right w:val="none" w:sz="0" w:space="0" w:color="auto"/>
      </w:divBdr>
    </w:div>
    <w:div w:id="951858579">
      <w:bodyDiv w:val="1"/>
      <w:marLeft w:val="0"/>
      <w:marRight w:val="0"/>
      <w:marTop w:val="0"/>
      <w:marBottom w:val="0"/>
      <w:divBdr>
        <w:top w:val="none" w:sz="0" w:space="0" w:color="auto"/>
        <w:left w:val="none" w:sz="0" w:space="0" w:color="auto"/>
        <w:bottom w:val="none" w:sz="0" w:space="0" w:color="auto"/>
        <w:right w:val="none" w:sz="0" w:space="0" w:color="auto"/>
      </w:divBdr>
    </w:div>
    <w:div w:id="955453656">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087993297">
      <w:bodyDiv w:val="1"/>
      <w:marLeft w:val="0"/>
      <w:marRight w:val="0"/>
      <w:marTop w:val="0"/>
      <w:marBottom w:val="0"/>
      <w:divBdr>
        <w:top w:val="none" w:sz="0" w:space="0" w:color="auto"/>
        <w:left w:val="none" w:sz="0" w:space="0" w:color="auto"/>
        <w:bottom w:val="none" w:sz="0" w:space="0" w:color="auto"/>
        <w:right w:val="none" w:sz="0" w:space="0" w:color="auto"/>
      </w:divBdr>
    </w:div>
    <w:div w:id="1122189321">
      <w:bodyDiv w:val="1"/>
      <w:marLeft w:val="0"/>
      <w:marRight w:val="0"/>
      <w:marTop w:val="0"/>
      <w:marBottom w:val="0"/>
      <w:divBdr>
        <w:top w:val="none" w:sz="0" w:space="0" w:color="auto"/>
        <w:left w:val="none" w:sz="0" w:space="0" w:color="auto"/>
        <w:bottom w:val="none" w:sz="0" w:space="0" w:color="auto"/>
        <w:right w:val="none" w:sz="0" w:space="0" w:color="auto"/>
      </w:divBdr>
    </w:div>
    <w:div w:id="1240335734">
      <w:bodyDiv w:val="1"/>
      <w:marLeft w:val="0"/>
      <w:marRight w:val="0"/>
      <w:marTop w:val="0"/>
      <w:marBottom w:val="0"/>
      <w:divBdr>
        <w:top w:val="none" w:sz="0" w:space="0" w:color="auto"/>
        <w:left w:val="none" w:sz="0" w:space="0" w:color="auto"/>
        <w:bottom w:val="none" w:sz="0" w:space="0" w:color="auto"/>
        <w:right w:val="none" w:sz="0" w:space="0" w:color="auto"/>
      </w:divBdr>
    </w:div>
    <w:div w:id="1297881480">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471172964">
      <w:bodyDiv w:val="1"/>
      <w:marLeft w:val="0"/>
      <w:marRight w:val="0"/>
      <w:marTop w:val="0"/>
      <w:marBottom w:val="0"/>
      <w:divBdr>
        <w:top w:val="none" w:sz="0" w:space="0" w:color="auto"/>
        <w:left w:val="none" w:sz="0" w:space="0" w:color="auto"/>
        <w:bottom w:val="none" w:sz="0" w:space="0" w:color="auto"/>
        <w:right w:val="none" w:sz="0" w:space="0" w:color="auto"/>
      </w:divBdr>
    </w:div>
    <w:div w:id="1510946460">
      <w:bodyDiv w:val="1"/>
      <w:marLeft w:val="0"/>
      <w:marRight w:val="0"/>
      <w:marTop w:val="0"/>
      <w:marBottom w:val="0"/>
      <w:divBdr>
        <w:top w:val="none" w:sz="0" w:space="0" w:color="auto"/>
        <w:left w:val="none" w:sz="0" w:space="0" w:color="auto"/>
        <w:bottom w:val="none" w:sz="0" w:space="0" w:color="auto"/>
        <w:right w:val="none" w:sz="0" w:space="0" w:color="auto"/>
      </w:divBdr>
    </w:div>
    <w:div w:id="1551846376">
      <w:bodyDiv w:val="1"/>
      <w:marLeft w:val="0"/>
      <w:marRight w:val="0"/>
      <w:marTop w:val="0"/>
      <w:marBottom w:val="0"/>
      <w:divBdr>
        <w:top w:val="none" w:sz="0" w:space="0" w:color="auto"/>
        <w:left w:val="none" w:sz="0" w:space="0" w:color="auto"/>
        <w:bottom w:val="none" w:sz="0" w:space="0" w:color="auto"/>
        <w:right w:val="none" w:sz="0" w:space="0" w:color="auto"/>
      </w:divBdr>
    </w:div>
    <w:div w:id="1575361493">
      <w:bodyDiv w:val="1"/>
      <w:marLeft w:val="0"/>
      <w:marRight w:val="0"/>
      <w:marTop w:val="0"/>
      <w:marBottom w:val="0"/>
      <w:divBdr>
        <w:top w:val="none" w:sz="0" w:space="0" w:color="auto"/>
        <w:left w:val="none" w:sz="0" w:space="0" w:color="auto"/>
        <w:bottom w:val="none" w:sz="0" w:space="0" w:color="auto"/>
        <w:right w:val="none" w:sz="0" w:space="0" w:color="auto"/>
      </w:divBdr>
    </w:div>
    <w:div w:id="1579628393">
      <w:bodyDiv w:val="1"/>
      <w:marLeft w:val="0"/>
      <w:marRight w:val="0"/>
      <w:marTop w:val="0"/>
      <w:marBottom w:val="0"/>
      <w:divBdr>
        <w:top w:val="none" w:sz="0" w:space="0" w:color="auto"/>
        <w:left w:val="none" w:sz="0" w:space="0" w:color="auto"/>
        <w:bottom w:val="none" w:sz="0" w:space="0" w:color="auto"/>
        <w:right w:val="none" w:sz="0" w:space="0" w:color="auto"/>
      </w:divBdr>
    </w:div>
    <w:div w:id="1620255583">
      <w:bodyDiv w:val="1"/>
      <w:marLeft w:val="0"/>
      <w:marRight w:val="0"/>
      <w:marTop w:val="0"/>
      <w:marBottom w:val="0"/>
      <w:divBdr>
        <w:top w:val="none" w:sz="0" w:space="0" w:color="auto"/>
        <w:left w:val="none" w:sz="0" w:space="0" w:color="auto"/>
        <w:bottom w:val="none" w:sz="0" w:space="0" w:color="auto"/>
        <w:right w:val="none" w:sz="0" w:space="0" w:color="auto"/>
      </w:divBdr>
    </w:div>
    <w:div w:id="1800806115">
      <w:bodyDiv w:val="1"/>
      <w:marLeft w:val="0"/>
      <w:marRight w:val="0"/>
      <w:marTop w:val="0"/>
      <w:marBottom w:val="0"/>
      <w:divBdr>
        <w:top w:val="none" w:sz="0" w:space="0" w:color="auto"/>
        <w:left w:val="none" w:sz="0" w:space="0" w:color="auto"/>
        <w:bottom w:val="none" w:sz="0" w:space="0" w:color="auto"/>
        <w:right w:val="none" w:sz="0" w:space="0" w:color="auto"/>
      </w:divBdr>
    </w:div>
    <w:div w:id="2017150323">
      <w:bodyDiv w:val="1"/>
      <w:marLeft w:val="0"/>
      <w:marRight w:val="0"/>
      <w:marTop w:val="0"/>
      <w:marBottom w:val="0"/>
      <w:divBdr>
        <w:top w:val="none" w:sz="0" w:space="0" w:color="auto"/>
        <w:left w:val="none" w:sz="0" w:space="0" w:color="auto"/>
        <w:bottom w:val="none" w:sz="0" w:space="0" w:color="auto"/>
        <w:right w:val="none" w:sz="0" w:space="0" w:color="auto"/>
      </w:divBdr>
    </w:div>
    <w:div w:id="2026247918">
      <w:bodyDiv w:val="1"/>
      <w:marLeft w:val="0"/>
      <w:marRight w:val="0"/>
      <w:marTop w:val="0"/>
      <w:marBottom w:val="0"/>
      <w:divBdr>
        <w:top w:val="none" w:sz="0" w:space="0" w:color="auto"/>
        <w:left w:val="none" w:sz="0" w:space="0" w:color="auto"/>
        <w:bottom w:val="none" w:sz="0" w:space="0" w:color="auto"/>
        <w:right w:val="none" w:sz="0" w:space="0" w:color="auto"/>
      </w:divBdr>
    </w:div>
    <w:div w:id="2026517122">
      <w:bodyDiv w:val="1"/>
      <w:marLeft w:val="0"/>
      <w:marRight w:val="0"/>
      <w:marTop w:val="0"/>
      <w:marBottom w:val="0"/>
      <w:divBdr>
        <w:top w:val="none" w:sz="0" w:space="0" w:color="auto"/>
        <w:left w:val="none" w:sz="0" w:space="0" w:color="auto"/>
        <w:bottom w:val="none" w:sz="0" w:space="0" w:color="auto"/>
        <w:right w:val="none" w:sz="0" w:space="0" w:color="auto"/>
      </w:divBdr>
    </w:div>
    <w:div w:id="2041468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A5DAD-C71E-4EF5-A481-25CF7C917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136</TotalTime>
  <Pages>19</Pages>
  <Words>5483</Words>
  <Characters>31256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36666</CharactersWithSpaces>
  <SharedDoc>false</SharedDoc>
  <HLinks>
    <vt:vector size="6" baseType="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tboswell001</dc:creator>
  <cp:lastModifiedBy>Lee, Kate</cp:lastModifiedBy>
  <cp:revision>26</cp:revision>
  <cp:lastPrinted>2016-11-14T11:32:00Z</cp:lastPrinted>
  <dcterms:created xsi:type="dcterms:W3CDTF">2016-11-25T13:07:00Z</dcterms:created>
  <dcterms:modified xsi:type="dcterms:W3CDTF">2016-11-28T09:00:00Z</dcterms:modified>
</cp:coreProperties>
</file>